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01A" w:rsidRPr="00D427FB" w:rsidRDefault="00E7401A" w:rsidP="00E7401A">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20</w:t>
      </w:r>
    </w:p>
    <w:p w:rsidR="00E7401A" w:rsidRPr="00D86E1B" w:rsidRDefault="006D2218" w:rsidP="00E7401A">
      <w:pPr>
        <w:spacing w:after="0" w:line="360" w:lineRule="auto"/>
        <w:jc w:val="center"/>
        <w:rPr>
          <w:b/>
          <w:sz w:val="28"/>
          <w:szCs w:val="28"/>
        </w:rPr>
      </w:pPr>
      <w:r>
        <w:rPr>
          <w:rFonts w:ascii="Tahoma" w:hAnsi="Tahoma" w:cs="Tahoma"/>
          <w:b/>
          <w:bCs/>
          <w:sz w:val="28"/>
          <w:szCs w:val="28"/>
          <w:lang w:val="en-US"/>
        </w:rPr>
        <w:t xml:space="preserve">AKUNTANSI </w:t>
      </w:r>
      <w:r w:rsidR="00E7401A">
        <w:rPr>
          <w:rFonts w:ascii="Tahoma" w:hAnsi="Tahoma" w:cs="Tahoma"/>
          <w:b/>
          <w:bCs/>
          <w:sz w:val="28"/>
          <w:szCs w:val="28"/>
          <w:lang w:val="en-US"/>
        </w:rPr>
        <w:t>ASET LAINNYA</w:t>
      </w:r>
    </w:p>
    <w:p w:rsidR="00E7401A" w:rsidRPr="00D427FB" w:rsidRDefault="00E7401A" w:rsidP="00E7401A">
      <w:pPr>
        <w:pStyle w:val="Heading2"/>
        <w:spacing w:after="0"/>
        <w:rPr>
          <w:rFonts w:ascii="Tahoma" w:hAnsi="Tahoma" w:cs="Tahoma"/>
          <w:sz w:val="28"/>
          <w:szCs w:val="28"/>
          <w:lang w:val="en-US"/>
        </w:rPr>
      </w:pPr>
      <w:bookmarkStart w:id="0" w:name="_Toc391856019"/>
      <w:bookmarkEnd w:id="0"/>
    </w:p>
    <w:p w:rsidR="00E7401A" w:rsidRPr="002F30D9" w:rsidRDefault="00E7401A" w:rsidP="003D2425">
      <w:pPr>
        <w:pStyle w:val="ListParagraph"/>
        <w:widowControl w:val="0"/>
        <w:numPr>
          <w:ilvl w:val="0"/>
          <w:numId w:val="1"/>
        </w:numPr>
        <w:tabs>
          <w:tab w:val="clear" w:pos="4609"/>
        </w:tabs>
        <w:autoSpaceDE w:val="0"/>
        <w:autoSpaceDN w:val="0"/>
        <w:adjustRightInd w:val="0"/>
        <w:spacing w:line="216" w:lineRule="auto"/>
        <w:ind w:left="360" w:hanging="379"/>
        <w:jc w:val="both"/>
        <w:rPr>
          <w:rFonts w:ascii="Arial" w:hAnsi="Arial" w:cs="Arial"/>
          <w:b/>
          <w:sz w:val="24"/>
          <w:szCs w:val="24"/>
        </w:rPr>
      </w:pPr>
      <w:r w:rsidRPr="002F30D9">
        <w:rPr>
          <w:rFonts w:ascii="Arial" w:hAnsi="Arial" w:cs="Arial"/>
          <w:b/>
          <w:sz w:val="24"/>
          <w:szCs w:val="24"/>
        </w:rPr>
        <w:t>UMUM</w:t>
      </w:r>
    </w:p>
    <w:p w:rsidR="00E7401A" w:rsidRPr="002F30D9" w:rsidRDefault="00E7401A" w:rsidP="00E7401A">
      <w:pPr>
        <w:pStyle w:val="ListParagraph"/>
        <w:widowControl w:val="0"/>
        <w:tabs>
          <w:tab w:val="num" w:pos="426"/>
        </w:tabs>
        <w:autoSpaceDE w:val="0"/>
        <w:autoSpaceDN w:val="0"/>
        <w:adjustRightInd w:val="0"/>
        <w:spacing w:line="216" w:lineRule="auto"/>
        <w:ind w:left="426"/>
        <w:jc w:val="both"/>
        <w:rPr>
          <w:rFonts w:ascii="Arial" w:hAnsi="Arial" w:cs="Arial"/>
          <w:b/>
          <w:sz w:val="24"/>
          <w:szCs w:val="24"/>
        </w:rPr>
      </w:pPr>
    </w:p>
    <w:p w:rsidR="00E7401A" w:rsidRPr="002F30D9"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rPr>
      </w:pPr>
      <w:r w:rsidRPr="002F30D9">
        <w:rPr>
          <w:rFonts w:ascii="Arial" w:hAnsi="Arial" w:cs="Arial"/>
          <w:b/>
          <w:spacing w:val="-1"/>
          <w:sz w:val="24"/>
          <w:szCs w:val="24"/>
          <w:lang w:val="en-US"/>
        </w:rPr>
        <w:t>Tujuan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b/>
          <w:spacing w:val="-1"/>
          <w:sz w:val="24"/>
          <w:szCs w:val="24"/>
        </w:rPr>
      </w:pPr>
      <w:r w:rsidRPr="002F30D9">
        <w:rPr>
          <w:rFonts w:ascii="Arial" w:hAnsi="Arial" w:cs="Arial"/>
          <w:sz w:val="24"/>
          <w:szCs w:val="24"/>
          <w:lang w:val="fi-FI"/>
        </w:rPr>
        <w:t>Tujuan kebijakan ini adalah mengatur perlakuan akuntansi atas aset lainnya yang mencakup pengakuan, pengukuran dan penilaian, serta pengungkapannya dalam laporan keuangan pemerintah daerah.</w:t>
      </w:r>
    </w:p>
    <w:p w:rsidR="00E7401A" w:rsidRPr="002F30D9" w:rsidRDefault="00E7401A" w:rsidP="00E7401A">
      <w:pPr>
        <w:pStyle w:val="ListParagraph"/>
        <w:widowControl w:val="0"/>
        <w:tabs>
          <w:tab w:val="left" w:pos="851"/>
        </w:tabs>
        <w:autoSpaceDE w:val="0"/>
        <w:autoSpaceDN w:val="0"/>
        <w:adjustRightInd w:val="0"/>
        <w:spacing w:after="0" w:line="216" w:lineRule="auto"/>
        <w:ind w:left="851"/>
        <w:jc w:val="both"/>
        <w:rPr>
          <w:rFonts w:ascii="Arial" w:hAnsi="Arial" w:cs="Arial"/>
          <w:b/>
          <w:spacing w:val="-1"/>
          <w:sz w:val="24"/>
          <w:szCs w:val="24"/>
        </w:rPr>
      </w:pPr>
    </w:p>
    <w:p w:rsidR="00E7401A" w:rsidRPr="00E7401A"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lang w:val="en-US"/>
        </w:rPr>
      </w:pPr>
      <w:r w:rsidRPr="002F30D9">
        <w:rPr>
          <w:rFonts w:ascii="Arial" w:hAnsi="Arial" w:cs="Arial"/>
          <w:b/>
          <w:spacing w:val="-1"/>
          <w:sz w:val="24"/>
          <w:szCs w:val="24"/>
          <w:lang w:val="en-US"/>
        </w:rPr>
        <w:t>Ruang Lingkup</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Kebijakan ini diterapkan pada akuntansi aset lainnya dalam rangka penyusunan laporan neraca.</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Pernyataan kebijakan ini berlaku untuk entitas akuntansi/pelaporan yang memperoleh anggaran berdasarkan APBD, tidak termasuk perusahaan daerah.</w:t>
      </w:r>
    </w:p>
    <w:p w:rsidR="00E7401A" w:rsidRPr="002F30D9" w:rsidRDefault="00E7401A" w:rsidP="00E7401A">
      <w:pPr>
        <w:pStyle w:val="ListParagraph"/>
        <w:widowControl w:val="0"/>
        <w:tabs>
          <w:tab w:val="left" w:pos="851"/>
        </w:tabs>
        <w:autoSpaceDE w:val="0"/>
        <w:autoSpaceDN w:val="0"/>
        <w:adjustRightInd w:val="0"/>
        <w:spacing w:after="0" w:line="216" w:lineRule="auto"/>
        <w:ind w:left="851"/>
        <w:jc w:val="both"/>
        <w:rPr>
          <w:rFonts w:ascii="Arial" w:hAnsi="Arial" w:cs="Arial"/>
          <w:b/>
          <w:spacing w:val="-1"/>
          <w:sz w:val="24"/>
          <w:szCs w:val="24"/>
        </w:rPr>
      </w:pPr>
    </w:p>
    <w:p w:rsidR="00E7401A" w:rsidRPr="002F30D9"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lang w:val="en-US"/>
        </w:rPr>
      </w:pPr>
      <w:r w:rsidRPr="002F30D9">
        <w:rPr>
          <w:rFonts w:ascii="Arial" w:hAnsi="Arial" w:cs="Arial"/>
          <w:b/>
          <w:spacing w:val="-1"/>
          <w:sz w:val="24"/>
          <w:szCs w:val="24"/>
          <w:lang w:val="en-US"/>
        </w:rPr>
        <w:t>Definisi</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merupakan aset pemerintah daerah yang tidak dapat diklasifikasikan sebagai aset lancar, investasi jangka panjang, aset tetap dan dana cadangan.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Termasuk di dalam Aset Lainnya adalah :</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Tagihan Piutang Penjualan Angsuran;</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Tagihan Tuntutan Ganti Kerugian Daerah;</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Kemitraan dengan Pihak Ketiga;</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Aset Tidak Berwujud;</w:t>
      </w:r>
    </w:p>
    <w:p w:rsidR="00E7401A"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Aset Lain-lain.</w:t>
      </w:r>
    </w:p>
    <w:p w:rsidR="000073D6" w:rsidRDefault="000073D6" w:rsidP="000073D6">
      <w:pPr>
        <w:spacing w:after="0" w:line="360" w:lineRule="auto"/>
        <w:jc w:val="both"/>
        <w:rPr>
          <w:rFonts w:ascii="Arial" w:hAnsi="Arial" w:cs="Arial"/>
          <w:sz w:val="24"/>
          <w:szCs w:val="24"/>
        </w:rPr>
      </w:pPr>
    </w:p>
    <w:p w:rsidR="000073D6" w:rsidRPr="002F30D9" w:rsidRDefault="000073D6" w:rsidP="000073D6">
      <w:pPr>
        <w:spacing w:after="0" w:line="360" w:lineRule="auto"/>
        <w:jc w:val="both"/>
        <w:rPr>
          <w:rFonts w:ascii="Arial" w:hAnsi="Arial" w:cs="Arial"/>
          <w:sz w:val="24"/>
          <w:szCs w:val="24"/>
        </w:rPr>
      </w:pP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lastRenderedPageBreak/>
        <w:t>Tagihan penjualan angsuran menggambarkan jumlah yang dapat diterima dari penjualan aset pemerintah daerah secara angsuran kepada pegawai pemerintah daerah. Contoh tagihan penjualan angsuran antara lain adalah penjualan rumah dinas dan penjualan kendaraan dinas.</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Perbendaharaan (TP) merupakan suatu proses yang dilakukan terhadap bendahara dengan tujuan untuk menuntut penggantian atas suatu kerugian yang diderita oleh Pemda sebagai akibat langsung ataupun tidak langsung dari suatu perbuatan melanggar hukum yang dilakukan oleh bendahara tersebut atau kelalaian dalam pelaksanaan tugas kewajibannya.</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Ganti Rugi (TGR) merupakan suatu proses yang dilakukan terhadap pegawai negeri bukan bendahara dengan tujuan untuk menuntut penggantian atas suatu kerugian yang diderita oleh Pemda sebagai akibat langsung ataupun tidak langsung dari suatu perbuatan melanggar hukum yang dilakukan oleh pegawai tersebut atau kelalaian dalam pelaksanaan tugas kewajibannya.</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Kemitraan adalah perjanjian antara dua pihak atau lebih yang mempunyai komitmen untuk melaksanakan kegiatan yang dikendalikan bersama dengan menggunakan aset dan/atau hak usaha yang dimiliki.</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Bentuk kemitraan tersebut antara lain dapat berupa :</w:t>
      </w:r>
    </w:p>
    <w:p w:rsidR="00E7401A" w:rsidRPr="002F30D9" w:rsidRDefault="00E7401A" w:rsidP="003D2425">
      <w:pPr>
        <w:numPr>
          <w:ilvl w:val="4"/>
          <w:numId w:val="6"/>
        </w:numPr>
        <w:tabs>
          <w:tab w:val="clear" w:pos="3600"/>
        </w:tabs>
        <w:spacing w:after="0" w:line="360" w:lineRule="auto"/>
        <w:ind w:left="1080"/>
        <w:jc w:val="both"/>
        <w:rPr>
          <w:rFonts w:ascii="Arial" w:hAnsi="Arial" w:cs="Arial"/>
          <w:sz w:val="24"/>
          <w:szCs w:val="24"/>
        </w:rPr>
      </w:pPr>
      <w:r w:rsidRPr="002F30D9">
        <w:rPr>
          <w:rFonts w:ascii="Arial" w:hAnsi="Arial" w:cs="Arial"/>
          <w:sz w:val="24"/>
          <w:szCs w:val="24"/>
        </w:rPr>
        <w:t>Bangun, Kelola, Serah (BKS)</w:t>
      </w:r>
    </w:p>
    <w:p w:rsidR="00E7401A" w:rsidRPr="002F30D9" w:rsidRDefault="00E7401A" w:rsidP="003D2425">
      <w:pPr>
        <w:numPr>
          <w:ilvl w:val="4"/>
          <w:numId w:val="6"/>
        </w:numPr>
        <w:tabs>
          <w:tab w:val="clear" w:pos="3600"/>
        </w:tabs>
        <w:spacing w:after="0" w:line="360" w:lineRule="auto"/>
        <w:ind w:left="1080"/>
        <w:jc w:val="both"/>
        <w:rPr>
          <w:rFonts w:ascii="Arial" w:hAnsi="Arial" w:cs="Arial"/>
          <w:sz w:val="24"/>
          <w:szCs w:val="24"/>
        </w:rPr>
      </w:pPr>
      <w:r w:rsidRPr="002F30D9">
        <w:rPr>
          <w:rFonts w:ascii="Arial" w:hAnsi="Arial" w:cs="Arial"/>
          <w:sz w:val="24"/>
          <w:szCs w:val="24"/>
        </w:rPr>
        <w:t>Bangun, Serah, Kelola (BSK)</w:t>
      </w:r>
    </w:p>
    <w:p w:rsidR="000073D6"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Bangun, Kelola, Serah (BKS) adalah suatu bentuk kerjasama berupa pemanfaatan aset pemerintah daerah oleh pihak ketiga/investor, dengan cara pihak ketiga/investor tersebut mendirikan bangunan dan/atau sarana lain berikut fasilitasnya serta mendayagunakannya dalam jangka waktu tertentu, untuk kemudian menyerahkannya kembali bangunan dan atau sarana lain berikut fasilitasnya kepada </w:t>
      </w:r>
      <w:r w:rsidR="000073D6">
        <w:rPr>
          <w:rFonts w:ascii="Arial" w:hAnsi="Arial" w:cs="Arial"/>
          <w:sz w:val="24"/>
          <w:szCs w:val="24"/>
          <w:lang w:val="fi-FI"/>
        </w:rPr>
        <w:t xml:space="preserve">                                                                                    </w:t>
      </w:r>
    </w:p>
    <w:p w:rsidR="000073D6" w:rsidRDefault="000073D6" w:rsidP="000073D6">
      <w:pPr>
        <w:pStyle w:val="ListParagraph"/>
        <w:widowControl w:val="0"/>
        <w:autoSpaceDE w:val="0"/>
        <w:autoSpaceDN w:val="0"/>
        <w:adjustRightInd w:val="0"/>
        <w:spacing w:before="120" w:after="0" w:line="360" w:lineRule="auto"/>
        <w:contextualSpacing w:val="0"/>
        <w:jc w:val="both"/>
        <w:rPr>
          <w:rFonts w:ascii="Arial" w:hAnsi="Arial" w:cs="Arial"/>
          <w:sz w:val="24"/>
          <w:szCs w:val="24"/>
          <w:lang w:val="fi-FI"/>
        </w:rPr>
      </w:pPr>
    </w:p>
    <w:p w:rsidR="00E7401A" w:rsidRPr="00E7401A" w:rsidRDefault="00E7401A" w:rsidP="000073D6">
      <w:pPr>
        <w:pStyle w:val="ListParagraph"/>
        <w:widowControl w:val="0"/>
        <w:autoSpaceDE w:val="0"/>
        <w:autoSpaceDN w:val="0"/>
        <w:adjustRightInd w:val="0"/>
        <w:spacing w:before="120" w:after="0" w:line="360" w:lineRule="auto"/>
        <w:contextualSpacing w:val="0"/>
        <w:jc w:val="both"/>
        <w:rPr>
          <w:rFonts w:ascii="Arial" w:hAnsi="Arial" w:cs="Arial"/>
          <w:sz w:val="24"/>
          <w:szCs w:val="24"/>
          <w:lang w:val="fi-FI"/>
        </w:rPr>
      </w:pPr>
      <w:r w:rsidRPr="00E7401A">
        <w:rPr>
          <w:rFonts w:ascii="Arial" w:hAnsi="Arial" w:cs="Arial"/>
          <w:sz w:val="24"/>
          <w:szCs w:val="24"/>
          <w:lang w:val="fi-FI"/>
        </w:rPr>
        <w:lastRenderedPageBreak/>
        <w:t>pemerintah daerah setelah berakhirnya jangka waktu yang disepakati (masa konsesi).</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Pada akhir masa konsesi ini, penyerahan aset oleh pihak ketiga/investor kepada pemerintah daerah sebagai pemilik aset, biasanya tidak disertai dengan pembayaran oleh pemerintah daerah. Kalaupun disertai pembayaran oleh pemerintah daerah, pembayaran tersebut dalam jumlah yang sangat rendah. Penyerahan dan pembayaran aset BKS ini harus diatur dalam perjanjian/kontrak kerjasama.</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Bangun, Serah, Kelola (BSK) adalah pemanfaatan aset pemerintah daerah oleh pihak ketiga/investor, dengan cara pihak ketiga/investor tersebut mendirikan bangunan dan/atau sarana lain berikut fasilitasnya kemudian menyerahkan aset yang dibangun tersebut kepada pemerintah daerah untuk dikelola sesuai dengan tujuan pembangunan aset tersebut.</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Aset tidak berwujud adalah aset tetap yang secara fisik tidak dapat dinyatakan atau tidak mempunyai wujud fisik serta dimiliki untuk digunakan dalam menghasilkan barang atau jasa atau digunakan untuk tujuan lainnya termasuk hak atas kekayaan intelektual. Contoh aset tidak berwujud adalah hak paten, hak cipta, hak merek, serta biaya riset dan pengembangan. Aset tidak berwujud dapat diperoleh melalui pembelian atau dapat dikembangkan sendiri oleh pemerintah daerah.</w:t>
      </w:r>
    </w:p>
    <w:p w:rsid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Pos Aset Lain-lain digunakan untuk mencatat aset lainnya yang tidak dapat dikelompokkan ke dalam Tagihan Penjualan Angsuran, Tuntutan Perbendaharaan, Tuntutan Ganti Rugi, Kemitraan dengan Pihak Ketiga dan Aset Tak Berwujud.</w:t>
      </w:r>
    </w:p>
    <w:p w:rsidR="000073D6" w:rsidRDefault="000073D6" w:rsidP="000073D6">
      <w:pPr>
        <w:widowControl w:val="0"/>
        <w:autoSpaceDE w:val="0"/>
        <w:autoSpaceDN w:val="0"/>
        <w:adjustRightInd w:val="0"/>
        <w:spacing w:before="120" w:after="0" w:line="360" w:lineRule="auto"/>
        <w:jc w:val="both"/>
        <w:rPr>
          <w:rFonts w:ascii="Arial" w:hAnsi="Arial" w:cs="Arial"/>
          <w:sz w:val="24"/>
          <w:szCs w:val="24"/>
          <w:lang w:val="fi-FI"/>
        </w:rPr>
      </w:pPr>
    </w:p>
    <w:p w:rsidR="000073D6" w:rsidRDefault="000073D6" w:rsidP="000073D6">
      <w:pPr>
        <w:widowControl w:val="0"/>
        <w:autoSpaceDE w:val="0"/>
        <w:autoSpaceDN w:val="0"/>
        <w:adjustRightInd w:val="0"/>
        <w:spacing w:before="120" w:after="0" w:line="360" w:lineRule="auto"/>
        <w:jc w:val="both"/>
        <w:rPr>
          <w:rFonts w:ascii="Arial" w:hAnsi="Arial" w:cs="Arial"/>
          <w:sz w:val="24"/>
          <w:szCs w:val="24"/>
          <w:lang w:val="fi-FI"/>
        </w:rPr>
      </w:pPr>
    </w:p>
    <w:p w:rsidR="000073D6" w:rsidRPr="000073D6" w:rsidRDefault="000073D6" w:rsidP="000073D6">
      <w:pPr>
        <w:widowControl w:val="0"/>
        <w:autoSpaceDE w:val="0"/>
        <w:autoSpaceDN w:val="0"/>
        <w:adjustRightInd w:val="0"/>
        <w:spacing w:before="120" w:after="0" w:line="360" w:lineRule="auto"/>
        <w:jc w:val="both"/>
        <w:rPr>
          <w:rFonts w:ascii="Arial" w:hAnsi="Arial" w:cs="Arial"/>
          <w:sz w:val="24"/>
          <w:szCs w:val="24"/>
          <w:lang w:val="fi-FI"/>
        </w:rPr>
      </w:pP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lastRenderedPageBreak/>
        <w:t xml:space="preserve">Termasuk dalam aset lain-lain adalah aset tetap yang dihentikan dari penggunaan aktif pemerintah daerah karena </w:t>
      </w:r>
      <w:r w:rsidR="001F6803" w:rsidRPr="001F6803">
        <w:rPr>
          <w:rFonts w:ascii="Arial" w:hAnsi="Arial" w:cs="Arial"/>
          <w:sz w:val="24"/>
          <w:szCs w:val="24"/>
          <w:lang w:val="fi-FI"/>
        </w:rPr>
        <w:t>rusak berat, usang, dan/atau aset tetap yang tidak digunakan karena sedang menunggu proses pemindahtanganan (proses penjualan, sewa beli, penghibahan, penyertaan modal).</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diklasifikasikan lebih lanjut sebagaimana tercantum pada Bagan Akun Standar.</w:t>
      </w:r>
    </w:p>
    <w:p w:rsidR="00E7401A" w:rsidRPr="002F30D9" w:rsidRDefault="00E7401A" w:rsidP="00E7401A">
      <w:pPr>
        <w:pStyle w:val="ListParagraph"/>
        <w:widowControl w:val="0"/>
        <w:tabs>
          <w:tab w:val="num" w:pos="426"/>
        </w:tabs>
        <w:autoSpaceDE w:val="0"/>
        <w:autoSpaceDN w:val="0"/>
        <w:adjustRightInd w:val="0"/>
        <w:spacing w:line="216" w:lineRule="auto"/>
        <w:ind w:left="426"/>
        <w:jc w:val="both"/>
        <w:rPr>
          <w:rFonts w:ascii="Arial" w:hAnsi="Arial" w:cs="Arial"/>
          <w:sz w:val="24"/>
          <w:szCs w:val="24"/>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2F30D9">
        <w:rPr>
          <w:rFonts w:ascii="Arial" w:hAnsi="Arial" w:cs="Arial"/>
          <w:b/>
          <w:sz w:val="24"/>
          <w:szCs w:val="24"/>
        </w:rPr>
        <w:t>PENGAKUAN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Secara umum aset lainnya dapat diakui pada saat:</w:t>
      </w:r>
    </w:p>
    <w:p w:rsidR="00E7401A" w:rsidRPr="002F30D9" w:rsidRDefault="00E7401A" w:rsidP="003D2425">
      <w:pPr>
        <w:pStyle w:val="ListParagraph"/>
        <w:widowControl w:val="0"/>
        <w:numPr>
          <w:ilvl w:val="0"/>
          <w:numId w:val="5"/>
        </w:numPr>
        <w:autoSpaceDE w:val="0"/>
        <w:autoSpaceDN w:val="0"/>
        <w:adjustRightInd w:val="0"/>
        <w:spacing w:before="120" w:after="0" w:line="360" w:lineRule="auto"/>
        <w:ind w:left="1080"/>
        <w:contextualSpacing w:val="0"/>
        <w:jc w:val="both"/>
        <w:rPr>
          <w:rFonts w:ascii="Arial" w:hAnsi="Arial" w:cs="Arial"/>
          <w:sz w:val="24"/>
          <w:szCs w:val="24"/>
          <w:lang w:val="fi-FI"/>
        </w:rPr>
      </w:pPr>
      <w:r w:rsidRPr="002F30D9">
        <w:rPr>
          <w:rFonts w:ascii="Arial" w:hAnsi="Arial" w:cs="Arial"/>
          <w:sz w:val="24"/>
          <w:szCs w:val="24"/>
          <w:lang w:val="fi-FI"/>
        </w:rPr>
        <w:t>Potensi manfaat ekonomi masa depan diperoleh oleh pemerintah daerah dan mempunyai nilai atau biaya yang dapat diukur dengan andal.</w:t>
      </w:r>
    </w:p>
    <w:p w:rsidR="00E7401A" w:rsidRPr="002F30D9" w:rsidRDefault="00E7401A" w:rsidP="003D2425">
      <w:pPr>
        <w:pStyle w:val="ListParagraph"/>
        <w:widowControl w:val="0"/>
        <w:numPr>
          <w:ilvl w:val="0"/>
          <w:numId w:val="5"/>
        </w:numPr>
        <w:autoSpaceDE w:val="0"/>
        <w:autoSpaceDN w:val="0"/>
        <w:adjustRightInd w:val="0"/>
        <w:spacing w:before="120" w:after="0" w:line="360" w:lineRule="auto"/>
        <w:ind w:left="1080"/>
        <w:contextualSpacing w:val="0"/>
        <w:jc w:val="both"/>
        <w:rPr>
          <w:rFonts w:ascii="Arial" w:hAnsi="Arial" w:cs="Arial"/>
          <w:sz w:val="24"/>
          <w:szCs w:val="24"/>
          <w:lang w:val="fi-FI"/>
        </w:rPr>
      </w:pPr>
      <w:r w:rsidRPr="002F30D9">
        <w:rPr>
          <w:rFonts w:ascii="Arial" w:hAnsi="Arial" w:cs="Arial"/>
          <w:sz w:val="24"/>
          <w:szCs w:val="24"/>
          <w:lang w:val="fi-FI"/>
        </w:rPr>
        <w:t>Diterima atau kepemilikannya dan / atau kepenguasaannya berpindah.</w:t>
      </w:r>
    </w:p>
    <w:p w:rsidR="00E7401A" w:rsidRPr="002F30D9" w:rsidRDefault="00E7401A" w:rsidP="00E7401A">
      <w:pPr>
        <w:pStyle w:val="ListParagraph"/>
        <w:widowControl w:val="0"/>
        <w:autoSpaceDE w:val="0"/>
        <w:autoSpaceDN w:val="0"/>
        <w:adjustRightInd w:val="0"/>
        <w:spacing w:line="216" w:lineRule="auto"/>
        <w:ind w:left="4609"/>
        <w:jc w:val="both"/>
        <w:rPr>
          <w:rFonts w:ascii="Arial" w:hAnsi="Arial" w:cs="Arial"/>
          <w:b/>
          <w:sz w:val="24"/>
          <w:szCs w:val="24"/>
          <w:lang w:val="en-US"/>
        </w:rPr>
      </w:pP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yang diperoleh melalui pengeluaran kas maupun tanpa pengeluaran kas dapat diakui pada saat terjadinya transaksi berdasarkan dokumen perolehan yang sah sesuai dengan ketentuan yang berlaku.</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 xml:space="preserve">Aset lainnya yang berkurang melalui penerimaan kas maupun tanpa penerimaan kas, diakui pada saat terjadinya transaksi berdasarkan dokumen yang sah sesuai dengan ketentuan yang berlaku.  </w:t>
      </w:r>
    </w:p>
    <w:p w:rsidR="00E7401A" w:rsidRPr="002F30D9" w:rsidRDefault="00E7401A" w:rsidP="00E7401A">
      <w:pPr>
        <w:pStyle w:val="ListParagraph"/>
        <w:widowControl w:val="0"/>
        <w:autoSpaceDE w:val="0"/>
        <w:autoSpaceDN w:val="0"/>
        <w:adjustRightInd w:val="0"/>
        <w:spacing w:line="216" w:lineRule="auto"/>
        <w:jc w:val="both"/>
        <w:rPr>
          <w:rFonts w:ascii="Arial" w:hAnsi="Arial" w:cs="Arial"/>
          <w:b/>
          <w:sz w:val="24"/>
          <w:szCs w:val="24"/>
          <w:lang w:val="en-US"/>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2F30D9">
        <w:rPr>
          <w:rFonts w:ascii="Arial" w:hAnsi="Arial" w:cs="Arial"/>
          <w:b/>
          <w:sz w:val="24"/>
          <w:szCs w:val="24"/>
        </w:rPr>
        <w:t>PEN</w:t>
      </w:r>
      <w:r w:rsidRPr="00E7401A">
        <w:rPr>
          <w:rFonts w:ascii="Arial" w:hAnsi="Arial" w:cs="Arial"/>
          <w:b/>
          <w:sz w:val="24"/>
          <w:szCs w:val="24"/>
        </w:rPr>
        <w:t>GUKURAN DAN PENILAIAN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Tagihan penjualan angsuran dinilai sebesar nilai nominal dari kontrak/berita acara penjualan aset yang bersangkutan setelah dikurangi dengan angsuran yang telah dibayarkan oleh pegawai ke kas umum daerah atau berdasarkan daftar saldo tagihan penjualan angsuran.</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lastRenderedPageBreak/>
        <w:t>Tuntutan Perbendaharaan dinilai sebesar nilai nominal dalam Surat Keputusan Pembebanan setelah dikurangi dengan setoran yang telah dilakukan oleh bendahara yang bersangkutan ke kas umum daerah.</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Ganti Rugi dinilai sebesar nilai nominal dalam Surat Keterangan Tanggungjawab Mutlak (SKTM) setelah dikurangi dengan setoran yang telah dilakukan oleh pegawai yang bersangkutan ke kas umum daerah.</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Bangun, Kelola, Serah (BKS) dicatat sebesar nilai aset yang diserahkan oleh pemerintah kepada pihak ketiga/investor untuk membangun aset BKS tersebut. Aset yang berada dalam BKS ini disajikan terpisah dari Aset Tetap.</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Penyerahan/pengembalian aset BKS oleh pihak ketiga/investor kepada pemerintah daerah pada akhir masa perjanjian sebagai berikut :</w:t>
      </w:r>
    </w:p>
    <w:p w:rsidR="00E7401A" w:rsidRPr="002F30D9" w:rsidRDefault="00E7401A" w:rsidP="003D2425">
      <w:pPr>
        <w:numPr>
          <w:ilvl w:val="0"/>
          <w:numId w:val="7"/>
        </w:numPr>
        <w:spacing w:line="360" w:lineRule="auto"/>
        <w:ind w:left="1080"/>
        <w:jc w:val="both"/>
        <w:rPr>
          <w:rFonts w:ascii="Arial" w:hAnsi="Arial" w:cs="Arial"/>
          <w:sz w:val="24"/>
          <w:szCs w:val="24"/>
          <w:lang w:val="en-US"/>
        </w:rPr>
      </w:pPr>
      <w:r w:rsidRPr="002F30D9">
        <w:rPr>
          <w:rFonts w:ascii="Arial" w:hAnsi="Arial" w:cs="Arial"/>
          <w:sz w:val="24"/>
          <w:szCs w:val="24"/>
        </w:rPr>
        <w:t>Untuk aset yang berasal dari pemerintah daerah dinilai sebesar nilai tercatat yang diserahkan pada saat aset tersebut dikerjasamakan dan disajikan kembali sebagai aset tetap.</w:t>
      </w:r>
    </w:p>
    <w:p w:rsidR="00E7401A" w:rsidRPr="002F30D9" w:rsidRDefault="00E7401A" w:rsidP="003D2425">
      <w:pPr>
        <w:numPr>
          <w:ilvl w:val="0"/>
          <w:numId w:val="7"/>
        </w:numPr>
        <w:spacing w:line="360" w:lineRule="auto"/>
        <w:ind w:left="1080"/>
        <w:jc w:val="both"/>
        <w:rPr>
          <w:rFonts w:cs="Tahoma"/>
        </w:rPr>
      </w:pPr>
      <w:r w:rsidRPr="002F30D9">
        <w:rPr>
          <w:rFonts w:ascii="Arial" w:hAnsi="Arial" w:cs="Arial"/>
          <w:sz w:val="24"/>
          <w:szCs w:val="24"/>
        </w:rPr>
        <w:t>Untuk aset yang dibangun oleh pihak ketiga dinilai sebesar harga wajar pada saat perolehan/penyerahan.</w:t>
      </w:r>
    </w:p>
    <w:p w:rsidR="00CF1EE7" w:rsidRDefault="00CF1EE7" w:rsidP="00CF1EE7">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Pr>
          <w:rFonts w:ascii="Arial" w:hAnsi="Arial" w:cs="Arial"/>
          <w:sz w:val="24"/>
          <w:szCs w:val="24"/>
          <w:lang w:val="fi-FI"/>
        </w:rPr>
        <w:t>Bangun, Serah, Kelola (</w:t>
      </w:r>
      <w:r w:rsidRPr="00CF1EE7">
        <w:rPr>
          <w:rFonts w:ascii="Arial" w:hAnsi="Arial" w:cs="Arial"/>
          <w:sz w:val="24"/>
          <w:szCs w:val="24"/>
          <w:lang w:val="fi-FI"/>
        </w:rPr>
        <w:t>BSG</w:t>
      </w:r>
      <w:r>
        <w:rPr>
          <w:rFonts w:ascii="Arial" w:hAnsi="Arial" w:cs="Arial"/>
          <w:sz w:val="24"/>
          <w:szCs w:val="24"/>
          <w:lang w:val="fi-FI"/>
        </w:rPr>
        <w:t>)</w:t>
      </w:r>
      <w:r w:rsidRPr="00CF1EE7">
        <w:rPr>
          <w:rFonts w:ascii="Arial" w:hAnsi="Arial" w:cs="Arial"/>
          <w:sz w:val="24"/>
          <w:szCs w:val="24"/>
          <w:lang w:val="fi-FI"/>
        </w:rPr>
        <w:t xml:space="preserve"> dicatat sebesar nilai perolehan aset tetap yang dibangun yaitu sebesar nilai aset tetap yang diserahkan pemerintah daerah ditambah dengan nilai perolehan aset yang dikeluarkan oleh pihak ketiga/investor untuk membangun aset tersebut</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Aset Tak Berwujud diukur dengan harga perolehan, yaitu harga yang harus dibayar entitas untuk memperoleh suatu Aset Tak Berwujud hingga siap untuk digunakan dan Aset Tak Berwujud tersebut mempunyai manfaat ekonomi yang diharapkan dimasa datang atau jasa potensial yang melekat pada aset tersebut akan mengalir masuk kedalam entitas tersebut.</w:t>
      </w:r>
    </w:p>
    <w:p w:rsidR="0086036E"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lastRenderedPageBreak/>
        <w:t>Aset Tidak Berwujud disajikan di neraca berdasarkan nilai bruto setelah dikurang amortisasi.</w:t>
      </w:r>
    </w:p>
    <w:p w:rsidR="0086036E" w:rsidRPr="0086036E" w:rsidRDefault="0086036E" w:rsidP="0086036E">
      <w:pPr>
        <w:pStyle w:val="ListParagraph"/>
        <w:widowControl w:val="0"/>
        <w:autoSpaceDE w:val="0"/>
        <w:autoSpaceDN w:val="0"/>
        <w:adjustRightInd w:val="0"/>
        <w:spacing w:before="120" w:after="0" w:line="360" w:lineRule="auto"/>
        <w:ind w:left="360"/>
        <w:contextualSpacing w:val="0"/>
        <w:jc w:val="both"/>
        <w:rPr>
          <w:rFonts w:ascii="Arial" w:hAnsi="Arial" w:cs="Arial"/>
          <w:b/>
          <w:sz w:val="24"/>
          <w:szCs w:val="24"/>
          <w:lang w:val="fi-FI"/>
        </w:rPr>
      </w:pPr>
      <w:r w:rsidRPr="0086036E">
        <w:rPr>
          <w:rFonts w:ascii="Arial" w:hAnsi="Arial" w:cs="Arial"/>
          <w:b/>
          <w:sz w:val="24"/>
          <w:szCs w:val="24"/>
          <w:lang w:val="fi-FI"/>
        </w:rPr>
        <w:t>Amortisasi</w:t>
      </w:r>
      <w:r w:rsidR="00E7401A" w:rsidRPr="0086036E">
        <w:rPr>
          <w:rFonts w:ascii="Arial" w:hAnsi="Arial" w:cs="Arial"/>
          <w:b/>
          <w:sz w:val="24"/>
          <w:szCs w:val="24"/>
          <w:lang w:val="fi-FI"/>
        </w:rPr>
        <w:t xml:space="preserve"> </w:t>
      </w:r>
    </w:p>
    <w:p w:rsidR="009066DA" w:rsidRPr="00A90FCD" w:rsidRDefault="0086036E" w:rsidP="00990FA3">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A90FCD">
        <w:rPr>
          <w:rFonts w:ascii="Arial" w:hAnsi="Arial" w:cs="Arial"/>
          <w:sz w:val="24"/>
          <w:szCs w:val="24"/>
          <w:lang w:val="fi-FI"/>
        </w:rPr>
        <w:t>Amortisasi adalah penyusutan terhadap aset tidak berwujud yang dialokasikan secara sistematis dan rasional selama masa manfaatnya kecuali atas aset tak berwujud yang memiliki masa manfaat tak terbatas.</w:t>
      </w:r>
    </w:p>
    <w:p w:rsid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Perhitungan amortisasi dilakukan </w:t>
      </w:r>
      <w:r w:rsidR="009066DA">
        <w:rPr>
          <w:rFonts w:ascii="Arial" w:hAnsi="Arial" w:cs="Arial"/>
          <w:sz w:val="24"/>
          <w:szCs w:val="24"/>
          <w:lang w:val="fi-FI"/>
        </w:rPr>
        <w:t xml:space="preserve">menggunakan </w:t>
      </w:r>
      <w:r w:rsidRPr="00E7401A">
        <w:rPr>
          <w:rFonts w:ascii="Arial" w:hAnsi="Arial" w:cs="Arial"/>
          <w:sz w:val="24"/>
          <w:szCs w:val="24"/>
          <w:lang w:val="fi-FI"/>
        </w:rPr>
        <w:t xml:space="preserve">metode garis </w:t>
      </w:r>
      <w:r w:rsidR="009066DA">
        <w:rPr>
          <w:rFonts w:ascii="Arial" w:hAnsi="Arial" w:cs="Arial"/>
          <w:sz w:val="24"/>
          <w:szCs w:val="24"/>
          <w:lang w:val="fi-FI"/>
        </w:rPr>
        <w:t>lurus</w:t>
      </w:r>
      <w:r w:rsidR="001846C9">
        <w:rPr>
          <w:rFonts w:ascii="Arial" w:hAnsi="Arial" w:cs="Arial"/>
          <w:sz w:val="24"/>
          <w:szCs w:val="24"/>
          <w:lang w:val="fi-FI"/>
        </w:rPr>
        <w:t xml:space="preserve"> berdasarkan masa manfaat aset tak berwujud sesuai tabel:</w:t>
      </w:r>
    </w:p>
    <w:tbl>
      <w:tblPr>
        <w:tblStyle w:val="TableGrid"/>
        <w:tblW w:w="7980" w:type="dxa"/>
        <w:tblInd w:w="355" w:type="dxa"/>
        <w:tblLook w:val="04A0" w:firstRow="1" w:lastRow="0" w:firstColumn="1" w:lastColumn="0" w:noHBand="0" w:noVBand="1"/>
      </w:tblPr>
      <w:tblGrid>
        <w:gridCol w:w="600"/>
        <w:gridCol w:w="4835"/>
        <w:gridCol w:w="2545"/>
      </w:tblGrid>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No</w:t>
            </w:r>
          </w:p>
        </w:tc>
        <w:tc>
          <w:tcPr>
            <w:tcW w:w="483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Jenis Aset Tak Berwujud</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Masa Manfaat (Tahun)</w:t>
            </w:r>
          </w:p>
        </w:tc>
      </w:tr>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1</w:t>
            </w:r>
          </w:p>
        </w:tc>
        <w:tc>
          <w:tcPr>
            <w:tcW w:w="4835" w:type="dxa"/>
          </w:tcPr>
          <w:p w:rsid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r>
              <w:rPr>
                <w:rFonts w:ascii="Arial" w:hAnsi="Arial" w:cs="Arial"/>
                <w:sz w:val="24"/>
                <w:szCs w:val="24"/>
                <w:lang w:val="fi-FI"/>
              </w:rPr>
              <w:t>Software Komputer</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4</w:t>
            </w:r>
          </w:p>
        </w:tc>
      </w:tr>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2</w:t>
            </w:r>
          </w:p>
        </w:tc>
        <w:tc>
          <w:tcPr>
            <w:tcW w:w="4835" w:type="dxa"/>
          </w:tcPr>
          <w:p w:rsid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r>
              <w:rPr>
                <w:rFonts w:ascii="Arial" w:hAnsi="Arial" w:cs="Arial"/>
                <w:sz w:val="24"/>
                <w:szCs w:val="24"/>
                <w:lang w:val="fi-FI"/>
              </w:rPr>
              <w:t>Lisensi</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10</w:t>
            </w:r>
          </w:p>
        </w:tc>
      </w:tr>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3</w:t>
            </w:r>
          </w:p>
        </w:tc>
        <w:tc>
          <w:tcPr>
            <w:tcW w:w="4835" w:type="dxa"/>
          </w:tcPr>
          <w:p w:rsid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r>
              <w:rPr>
                <w:rFonts w:ascii="Arial" w:hAnsi="Arial" w:cs="Arial"/>
                <w:sz w:val="24"/>
                <w:szCs w:val="24"/>
                <w:lang w:val="fi-FI"/>
              </w:rPr>
              <w:t>Paten Biasa</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20</w:t>
            </w:r>
          </w:p>
        </w:tc>
      </w:tr>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4</w:t>
            </w:r>
          </w:p>
        </w:tc>
        <w:tc>
          <w:tcPr>
            <w:tcW w:w="4835" w:type="dxa"/>
          </w:tcPr>
          <w:p w:rsid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r>
              <w:rPr>
                <w:rFonts w:ascii="Arial" w:hAnsi="Arial" w:cs="Arial"/>
                <w:sz w:val="24"/>
                <w:szCs w:val="24"/>
                <w:lang w:val="fi-FI"/>
              </w:rPr>
              <w:t>Hak Paten Sederhana</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10</w:t>
            </w:r>
          </w:p>
        </w:tc>
      </w:tr>
      <w:tr w:rsidR="001846C9" w:rsidTr="001846C9">
        <w:tc>
          <w:tcPr>
            <w:tcW w:w="600"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5</w:t>
            </w:r>
          </w:p>
        </w:tc>
        <w:tc>
          <w:tcPr>
            <w:tcW w:w="4835" w:type="dxa"/>
          </w:tcPr>
          <w:p w:rsid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r>
              <w:rPr>
                <w:rFonts w:ascii="Arial" w:hAnsi="Arial" w:cs="Arial"/>
                <w:sz w:val="24"/>
                <w:szCs w:val="24"/>
                <w:lang w:val="fi-FI"/>
              </w:rPr>
              <w:t>Merk</w:t>
            </w:r>
          </w:p>
        </w:tc>
        <w:tc>
          <w:tcPr>
            <w:tcW w:w="2545" w:type="dxa"/>
          </w:tcPr>
          <w:p w:rsidR="001846C9" w:rsidRDefault="001846C9" w:rsidP="001846C9">
            <w:pPr>
              <w:widowControl w:val="0"/>
              <w:autoSpaceDE w:val="0"/>
              <w:autoSpaceDN w:val="0"/>
              <w:adjustRightInd w:val="0"/>
              <w:spacing w:before="120" w:after="0" w:line="360" w:lineRule="auto"/>
              <w:jc w:val="center"/>
              <w:rPr>
                <w:rFonts w:ascii="Arial" w:hAnsi="Arial" w:cs="Arial"/>
                <w:sz w:val="24"/>
                <w:szCs w:val="24"/>
                <w:lang w:val="fi-FI"/>
              </w:rPr>
            </w:pPr>
            <w:r>
              <w:rPr>
                <w:rFonts w:ascii="Arial" w:hAnsi="Arial" w:cs="Arial"/>
                <w:sz w:val="24"/>
                <w:szCs w:val="24"/>
                <w:lang w:val="fi-FI"/>
              </w:rPr>
              <w:t>10</w:t>
            </w:r>
          </w:p>
        </w:tc>
      </w:tr>
    </w:tbl>
    <w:p w:rsidR="001846C9" w:rsidRPr="001846C9" w:rsidRDefault="001846C9" w:rsidP="001846C9">
      <w:pPr>
        <w:widowControl w:val="0"/>
        <w:autoSpaceDE w:val="0"/>
        <w:autoSpaceDN w:val="0"/>
        <w:adjustRightInd w:val="0"/>
        <w:spacing w:before="120" w:after="0" w:line="360" w:lineRule="auto"/>
        <w:jc w:val="both"/>
        <w:rPr>
          <w:rFonts w:ascii="Arial" w:hAnsi="Arial" w:cs="Arial"/>
          <w:sz w:val="24"/>
          <w:szCs w:val="24"/>
          <w:lang w:val="fi-FI"/>
        </w:rPr>
      </w:pPr>
    </w:p>
    <w:p w:rsidR="0086036E" w:rsidRPr="00E7401A" w:rsidRDefault="0086036E"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86036E">
        <w:rPr>
          <w:rFonts w:ascii="Arial" w:hAnsi="Arial" w:cs="Arial"/>
          <w:sz w:val="24"/>
          <w:szCs w:val="24"/>
          <w:lang w:val="fi-FI"/>
        </w:rPr>
        <w:t>Amortisasi aset tidak berwujud diungkapkan dalam neraca dalam akun “Akumula</w:t>
      </w:r>
      <w:r w:rsidR="00A90FCD">
        <w:rPr>
          <w:rFonts w:ascii="Arial" w:hAnsi="Arial" w:cs="Arial"/>
          <w:sz w:val="24"/>
          <w:szCs w:val="24"/>
          <w:lang w:val="fi-FI"/>
        </w:rPr>
        <w:t>si Amortisasi” yang akan mengur</w:t>
      </w:r>
      <w:r w:rsidRPr="0086036E">
        <w:rPr>
          <w:rFonts w:ascii="Arial" w:hAnsi="Arial" w:cs="Arial"/>
          <w:sz w:val="24"/>
          <w:szCs w:val="24"/>
          <w:lang w:val="fi-FI"/>
        </w:rPr>
        <w:t>a</w:t>
      </w:r>
      <w:r w:rsidR="00A90FCD">
        <w:rPr>
          <w:rFonts w:ascii="Arial" w:hAnsi="Arial" w:cs="Arial"/>
          <w:sz w:val="24"/>
          <w:szCs w:val="24"/>
          <w:lang w:val="fi-FI"/>
        </w:rPr>
        <w:t>n</w:t>
      </w:r>
      <w:r w:rsidRPr="0086036E">
        <w:rPr>
          <w:rFonts w:ascii="Arial" w:hAnsi="Arial" w:cs="Arial"/>
          <w:sz w:val="24"/>
          <w:szCs w:val="24"/>
          <w:lang w:val="fi-FI"/>
        </w:rPr>
        <w:t>gi nilai buku dari aset tidak berwujud tersebut. Selain itu amortisasi juga akan diungkapkan dalam Laporan Operasional sebagai “Beban Amortisasi”</w:t>
      </w:r>
    </w:p>
    <w:p w:rsidR="00E7401A" w:rsidRPr="002F30D9" w:rsidRDefault="00E7401A" w:rsidP="00E7401A">
      <w:pPr>
        <w:pStyle w:val="Default"/>
        <w:jc w:val="both"/>
        <w:rPr>
          <w:rFonts w:ascii="Arial" w:hAnsi="Arial" w:cs="Arial"/>
          <w:color w:val="auto"/>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E7401A">
        <w:rPr>
          <w:rFonts w:ascii="Arial" w:hAnsi="Arial" w:cs="Arial"/>
          <w:b/>
          <w:sz w:val="24"/>
          <w:szCs w:val="24"/>
        </w:rPr>
        <w:t>PENGUNGKAPAN</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Pengungkapan aset lainnya dalam catatan atas laporan keuangan, sekurang-kurangnya mencakup hal-hal sebagai berikut: </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 xml:space="preserve">Rincian aset lainnya; </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Kebijakan amortisasi atas Aset Tidak Berwujud;</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lastRenderedPageBreak/>
        <w:t>Kebijakan pelaksanaan kemitraan dengan pihak ketiga (sewa, KSP, BOT dan BTO);</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 xml:space="preserve">Informasi lainnya yang penting. </w:t>
      </w:r>
    </w:p>
    <w:p w:rsidR="005603F5" w:rsidRDefault="005603F5" w:rsidP="00E7401A">
      <w:pPr>
        <w:rPr>
          <w:szCs w:val="24"/>
        </w:rPr>
      </w:pPr>
      <w:bookmarkStart w:id="1" w:name="_GoBack"/>
      <w:bookmarkEnd w:id="1"/>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5603F5" w:rsidRPr="005603F5" w:rsidRDefault="005603F5" w:rsidP="005603F5">
      <w:pPr>
        <w:rPr>
          <w:szCs w:val="24"/>
        </w:rPr>
      </w:pPr>
    </w:p>
    <w:p w:rsidR="00626331" w:rsidRPr="005603F5" w:rsidRDefault="00626331" w:rsidP="005603F5">
      <w:pPr>
        <w:jc w:val="right"/>
        <w:rPr>
          <w:szCs w:val="24"/>
        </w:rPr>
      </w:pPr>
    </w:p>
    <w:sectPr w:rsidR="00626331" w:rsidRPr="005603F5" w:rsidSect="009362FD">
      <w:headerReference w:type="default" r:id="rId8"/>
      <w:footerReference w:type="default" r:id="rId9"/>
      <w:pgSz w:w="11909" w:h="16834" w:code="9"/>
      <w:pgMar w:top="1440" w:right="1418" w:bottom="1440" w:left="215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7A6" w:rsidRDefault="008247A6" w:rsidP="004E1021">
      <w:pPr>
        <w:spacing w:after="0" w:line="240" w:lineRule="auto"/>
      </w:pPr>
      <w:r>
        <w:separator/>
      </w:r>
    </w:p>
  </w:endnote>
  <w:endnote w:type="continuationSeparator" w:id="0">
    <w:p w:rsidR="008247A6" w:rsidRDefault="008247A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utura Lt BT">
    <w:altName w:val="Century Gothic"/>
    <w:charset w:val="00"/>
    <w:family w:val="swiss"/>
    <w:pitch w:val="variable"/>
    <w:sig w:usb0="00000007" w:usb1="00000000" w:usb2="00000000" w:usb3="00000000" w:csb0="0000001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0D5" w:rsidRPr="00770C3E" w:rsidRDefault="000925A0"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88E9B0"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7760D5">
      <w:rPr>
        <w:rFonts w:ascii="Tahoma" w:hAnsi="Tahoma" w:cs="Tahoma"/>
        <w:sz w:val="24"/>
        <w:szCs w:val="24"/>
        <w:lang w:val="en-US"/>
      </w:rPr>
      <w:t xml:space="preserve">Kebijakan Akuntansi </w:t>
    </w:r>
    <w:r w:rsidR="006D2218">
      <w:rPr>
        <w:rFonts w:ascii="Tahoma" w:hAnsi="Tahoma" w:cs="Tahoma"/>
        <w:sz w:val="24"/>
        <w:szCs w:val="24"/>
        <w:lang w:val="en-US"/>
      </w:rPr>
      <w:t>No.20</w:t>
    </w:r>
    <w:r w:rsidR="007760D5">
      <w:rPr>
        <w:rFonts w:ascii="Tahoma" w:hAnsi="Tahoma" w:cs="Tahoma"/>
        <w:sz w:val="24"/>
        <w:szCs w:val="24"/>
        <w:lang w:val="en-US"/>
      </w:rPr>
      <w:tab/>
    </w:r>
    <w:r w:rsidR="006D2218">
      <w:rPr>
        <w:rFonts w:ascii="Tahoma" w:hAnsi="Tahoma" w:cs="Tahoma"/>
        <w:sz w:val="24"/>
        <w:szCs w:val="24"/>
        <w:lang w:val="en-US"/>
      </w:rPr>
      <w:t xml:space="preserve">    </w:t>
    </w:r>
    <w:r w:rsidR="007760D5">
      <w:rPr>
        <w:rFonts w:ascii="Tahoma" w:hAnsi="Tahoma" w:cs="Tahoma"/>
        <w:sz w:val="24"/>
        <w:szCs w:val="24"/>
        <w:lang w:val="en-US"/>
      </w:rPr>
      <w:t xml:space="preserve">Halaman </w:t>
    </w:r>
    <w:r w:rsidR="007942A0"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7942A0" w:rsidRPr="00770C3E">
      <w:rPr>
        <w:rFonts w:ascii="Tahoma" w:hAnsi="Tahoma" w:cs="Tahoma"/>
        <w:sz w:val="24"/>
        <w:szCs w:val="24"/>
      </w:rPr>
      <w:fldChar w:fldCharType="separate"/>
    </w:r>
    <w:r w:rsidR="005603F5">
      <w:rPr>
        <w:rFonts w:ascii="Tahoma" w:hAnsi="Tahoma" w:cs="Tahoma"/>
        <w:noProof/>
        <w:sz w:val="24"/>
        <w:szCs w:val="24"/>
      </w:rPr>
      <w:t>7</w:t>
    </w:r>
    <w:r w:rsidR="007942A0"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5603F5">
      <w:rPr>
        <w:rFonts w:ascii="Tahoma" w:hAnsi="Tahoma" w:cs="Tahoma"/>
        <w:sz w:val="24"/>
        <w:szCs w:val="24"/>
        <w:lang w:val="en-US"/>
      </w:rPr>
      <w:t>7</w:t>
    </w:r>
  </w:p>
  <w:p w:rsidR="007760D5" w:rsidRDefault="00776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7A6" w:rsidRDefault="008247A6" w:rsidP="004E1021">
      <w:pPr>
        <w:spacing w:after="0" w:line="240" w:lineRule="auto"/>
      </w:pPr>
      <w:r>
        <w:separator/>
      </w:r>
    </w:p>
  </w:footnote>
  <w:footnote w:type="continuationSeparator" w:id="0">
    <w:p w:rsidR="008247A6" w:rsidRDefault="008247A6"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9"/>
      <w:gridCol w:w="294"/>
      <w:gridCol w:w="1058"/>
      <w:gridCol w:w="283"/>
      <w:gridCol w:w="2373"/>
    </w:tblGrid>
    <w:tr w:rsidR="000925A0" w:rsidRPr="00AA68E0" w:rsidTr="00DA3F04">
      <w:trPr>
        <w:trHeight w:val="284"/>
        <w:jc w:val="right"/>
      </w:trPr>
      <w:tc>
        <w:tcPr>
          <w:tcW w:w="1288" w:type="pct"/>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40" w:type="pct"/>
          <w:gridSpan w:val="3"/>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0925A0" w:rsidRPr="00AA68E0" w:rsidTr="00DA3F04">
      <w:trPr>
        <w:trHeight w:val="284"/>
        <w:jc w:val="right"/>
      </w:trPr>
      <w:tc>
        <w:tcPr>
          <w:tcW w:w="1288" w:type="pct"/>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0925A0" w:rsidRDefault="000925A0" w:rsidP="000925A0">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NOMOR</w:t>
          </w:r>
        </w:p>
      </w:tc>
      <w:tc>
        <w:tcPr>
          <w:tcW w:w="262" w:type="pct"/>
          <w:vAlign w:val="center"/>
        </w:tcPr>
        <w:p w:rsidR="000925A0" w:rsidRDefault="000925A0" w:rsidP="000925A0">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vAlign w:val="center"/>
        </w:tcPr>
        <w:p w:rsidR="000925A0" w:rsidRDefault="000925A0" w:rsidP="000925A0">
          <w:pPr>
            <w:pStyle w:val="BodyText"/>
            <w:spacing w:after="0"/>
            <w:rPr>
              <w:rFonts w:ascii="Tahoma" w:hAnsi="Tahoma" w:cs="Tahoma"/>
              <w:bCs/>
              <w:color w:val="000000"/>
              <w:sz w:val="18"/>
              <w:szCs w:val="18"/>
              <w:lang w:val="id-ID" w:eastAsia="id-ID"/>
            </w:rPr>
          </w:pPr>
          <w:r>
            <w:rPr>
              <w:rFonts w:ascii="Tahoma" w:hAnsi="Tahoma" w:cs="Tahoma"/>
              <w:bCs/>
              <w:color w:val="000000"/>
              <w:sz w:val="18"/>
              <w:szCs w:val="18"/>
              <w:lang w:val="id-ID" w:eastAsia="id-ID"/>
            </w:rPr>
            <w:t>43 TAHUN 2016</w:t>
          </w:r>
        </w:p>
      </w:tc>
    </w:tr>
    <w:tr w:rsidR="000925A0" w:rsidRPr="00AA68E0" w:rsidTr="00DA3F04">
      <w:trPr>
        <w:trHeight w:val="284"/>
        <w:jc w:val="right"/>
      </w:trPr>
      <w:tc>
        <w:tcPr>
          <w:tcW w:w="1288" w:type="pct"/>
          <w:tcMar>
            <w:left w:w="28" w:type="dxa"/>
            <w:right w:w="28" w:type="dxa"/>
          </w:tcMar>
          <w:vAlign w:val="center"/>
        </w:tcPr>
        <w:p w:rsidR="000925A0" w:rsidRPr="00AA68E0" w:rsidRDefault="000925A0" w:rsidP="000925A0">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0925A0" w:rsidRPr="00AA68E0" w:rsidRDefault="000925A0" w:rsidP="000925A0">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rsidR="000925A0" w:rsidRDefault="000925A0" w:rsidP="000925A0">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TENTANG</w:t>
          </w:r>
        </w:p>
      </w:tc>
      <w:tc>
        <w:tcPr>
          <w:tcW w:w="262" w:type="pct"/>
        </w:tcPr>
        <w:p w:rsidR="000925A0" w:rsidRDefault="000925A0" w:rsidP="000925A0">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tcPr>
        <w:p w:rsidR="000925A0" w:rsidRDefault="000925A0" w:rsidP="000925A0">
          <w:pPr>
            <w:pStyle w:val="BodyText"/>
            <w:spacing w:after="0"/>
            <w:rPr>
              <w:rFonts w:ascii="Tahoma" w:hAnsi="Tahoma" w:cs="Tahoma"/>
              <w:bCs/>
              <w:color w:val="000000"/>
              <w:sz w:val="18"/>
              <w:szCs w:val="18"/>
              <w:lang w:val="id-ID" w:eastAsia="id-ID"/>
            </w:rPr>
          </w:pPr>
          <w:r>
            <w:rPr>
              <w:rFonts w:ascii="Tahoma" w:hAnsi="Tahoma" w:cs="Tahoma"/>
              <w:color w:val="000000"/>
              <w:sz w:val="18"/>
              <w:szCs w:val="18"/>
              <w:lang w:val="id-ID" w:eastAsia="id-ID"/>
            </w:rPr>
            <w:t>PERUBAHAN PERATURAN WALIKOTA DUMAI NOMOR 26 TAHUN 2016</w:t>
          </w:r>
        </w:p>
      </w:tc>
    </w:tr>
  </w:tbl>
  <w:p w:rsidR="007760D5" w:rsidRPr="00AA68E0" w:rsidRDefault="000925A0"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333005"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AEC"/>
    <w:multiLevelType w:val="hybridMultilevel"/>
    <w:tmpl w:val="7D80F596"/>
    <w:lvl w:ilvl="0" w:tplc="62CCA0C2">
      <w:start w:val="1"/>
      <w:numFmt w:val="lowerLetter"/>
      <w:lvlText w:val="(%1)"/>
      <w:lvlJc w:val="left"/>
      <w:pPr>
        <w:tabs>
          <w:tab w:val="num" w:pos="720"/>
        </w:tabs>
        <w:ind w:left="720" w:hanging="360"/>
      </w:pPr>
      <w:rPr>
        <w:rFonts w:hint="default"/>
      </w:rPr>
    </w:lvl>
    <w:lvl w:ilvl="1" w:tplc="7A58275C">
      <w:start w:val="1"/>
      <w:numFmt w:val="lowerLetter"/>
      <w:lvlText w:val="%2)"/>
      <w:lvlJc w:val="left"/>
      <w:pPr>
        <w:tabs>
          <w:tab w:val="num" w:pos="1440"/>
        </w:tabs>
        <w:ind w:left="1440" w:hanging="360"/>
      </w:pPr>
      <w:rPr>
        <w:rFonts w:hint="default"/>
      </w:rPr>
    </w:lvl>
    <w:lvl w:ilvl="2" w:tplc="04B4B05A">
      <w:start w:val="1"/>
      <w:numFmt w:val="bullet"/>
      <w:lvlText w:val="-"/>
      <w:lvlJc w:val="left"/>
      <w:pPr>
        <w:tabs>
          <w:tab w:val="num" w:pos="2340"/>
        </w:tabs>
        <w:ind w:left="2340" w:hanging="360"/>
      </w:pPr>
      <w:rPr>
        <w:rFonts w:ascii="Times New Roman" w:eastAsia="Times New Roman" w:hAnsi="Times New Roman" w:cs="Times New Roman" w:hint="default"/>
      </w:rPr>
    </w:lvl>
    <w:lvl w:ilvl="3" w:tplc="41DAAC6C">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CF5ECB22">
      <w:start w:val="186"/>
      <w:numFmt w:val="decimal"/>
      <w:lvlText w:val="%6."/>
      <w:lvlJc w:val="left"/>
      <w:pPr>
        <w:tabs>
          <w:tab w:val="num" w:pos="4500"/>
        </w:tabs>
        <w:ind w:left="4500" w:hanging="360"/>
      </w:pPr>
      <w:rPr>
        <w:rFonts w:hint="default"/>
        <w:i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3D4ADC"/>
    <w:multiLevelType w:val="hybridMultilevel"/>
    <w:tmpl w:val="454AB444"/>
    <w:lvl w:ilvl="0" w:tplc="04090019">
      <w:start w:val="1"/>
      <w:numFmt w:val="lowerLetter"/>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D802656"/>
    <w:multiLevelType w:val="hybridMultilevel"/>
    <w:tmpl w:val="F0C8DE28"/>
    <w:lvl w:ilvl="0" w:tplc="4E00AC06">
      <w:start w:val="1"/>
      <w:numFmt w:val="lowerLetter"/>
      <w:lvlText w:val="%1."/>
      <w:lvlJc w:val="left"/>
      <w:pPr>
        <w:tabs>
          <w:tab w:val="num" w:pos="1800"/>
        </w:tabs>
        <w:ind w:left="1800" w:hanging="360"/>
      </w:pPr>
      <w:rPr>
        <w:rFonts w:ascii="Arial" w:hAnsi="Arial" w:cs="Arial"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65385A"/>
    <w:multiLevelType w:val="hybridMultilevel"/>
    <w:tmpl w:val="4684CB3E"/>
    <w:lvl w:ilvl="0" w:tplc="C84494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FCF0312"/>
    <w:multiLevelType w:val="hybridMultilevel"/>
    <w:tmpl w:val="F56A85C4"/>
    <w:lvl w:ilvl="0" w:tplc="4E00AC06">
      <w:start w:val="1"/>
      <w:numFmt w:val="lowerLetter"/>
      <w:lvlText w:val="%1."/>
      <w:lvlJc w:val="left"/>
      <w:pPr>
        <w:ind w:left="927" w:hanging="360"/>
      </w:pPr>
      <w:rPr>
        <w:rFonts w:ascii="Arial" w:hAnsi="Arial" w:cs="Arial" w:hint="default"/>
        <w:sz w:val="24"/>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C241AD0"/>
    <w:multiLevelType w:val="hybridMultilevel"/>
    <w:tmpl w:val="C4601D76"/>
    <w:lvl w:ilvl="0" w:tplc="F80EBB42">
      <w:start w:val="1"/>
      <w:numFmt w:val="decimal"/>
      <w:lvlText w:val="%1."/>
      <w:lvlJc w:val="left"/>
      <w:pPr>
        <w:ind w:left="1146" w:hanging="360"/>
      </w:pPr>
      <w:rPr>
        <w:rFonts w:ascii="Arial" w:hAnsi="Arial" w:cs="Arial" w:hint="default"/>
        <w:b w:val="0"/>
        <w:i w:val="0"/>
        <w:sz w:val="24"/>
        <w:szCs w:val="24"/>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15:restartNumberingAfterBreak="0">
    <w:nsid w:val="7AF02C9E"/>
    <w:multiLevelType w:val="hybridMultilevel"/>
    <w:tmpl w:val="C32CFD58"/>
    <w:lvl w:ilvl="0" w:tplc="9DCAB630">
      <w:start w:val="1"/>
      <w:numFmt w:val="upperLetter"/>
      <w:lvlText w:val="%1."/>
      <w:lvlJc w:val="left"/>
      <w:pPr>
        <w:tabs>
          <w:tab w:val="num" w:pos="4609"/>
        </w:tabs>
        <w:ind w:left="4609" w:hanging="360"/>
      </w:pPr>
      <w:rPr>
        <w:rFonts w:ascii="Tahoma" w:eastAsia="Calibri" w:hAnsi="Tahoma" w:cs="Tahom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073D6"/>
    <w:rsid w:val="000116E3"/>
    <w:rsid w:val="0001691F"/>
    <w:rsid w:val="00040E50"/>
    <w:rsid w:val="00041F0C"/>
    <w:rsid w:val="00044021"/>
    <w:rsid w:val="00052C12"/>
    <w:rsid w:val="000535A4"/>
    <w:rsid w:val="00071EC2"/>
    <w:rsid w:val="0009190E"/>
    <w:rsid w:val="000925A0"/>
    <w:rsid w:val="00094E5C"/>
    <w:rsid w:val="000B5B86"/>
    <w:rsid w:val="000B6A30"/>
    <w:rsid w:val="000B6C65"/>
    <w:rsid w:val="000F77A9"/>
    <w:rsid w:val="001127A4"/>
    <w:rsid w:val="00112B3E"/>
    <w:rsid w:val="00140ADF"/>
    <w:rsid w:val="001430A5"/>
    <w:rsid w:val="001520F3"/>
    <w:rsid w:val="001626D0"/>
    <w:rsid w:val="0016318A"/>
    <w:rsid w:val="001634B4"/>
    <w:rsid w:val="00167EF8"/>
    <w:rsid w:val="00167FF0"/>
    <w:rsid w:val="00170F01"/>
    <w:rsid w:val="001846C9"/>
    <w:rsid w:val="001954EE"/>
    <w:rsid w:val="001A3C34"/>
    <w:rsid w:val="001B098C"/>
    <w:rsid w:val="001C6349"/>
    <w:rsid w:val="001C7604"/>
    <w:rsid w:val="001D459C"/>
    <w:rsid w:val="001D5526"/>
    <w:rsid w:val="001E3B7E"/>
    <w:rsid w:val="001E73C4"/>
    <w:rsid w:val="001F6803"/>
    <w:rsid w:val="00212744"/>
    <w:rsid w:val="002177A6"/>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6BA1"/>
    <w:rsid w:val="00356F9A"/>
    <w:rsid w:val="0037193F"/>
    <w:rsid w:val="003721BE"/>
    <w:rsid w:val="003726B4"/>
    <w:rsid w:val="00382EDF"/>
    <w:rsid w:val="0038561B"/>
    <w:rsid w:val="0038602C"/>
    <w:rsid w:val="003903E4"/>
    <w:rsid w:val="003D2425"/>
    <w:rsid w:val="003E5BDC"/>
    <w:rsid w:val="003F3AF4"/>
    <w:rsid w:val="004036E0"/>
    <w:rsid w:val="00405ED0"/>
    <w:rsid w:val="00410239"/>
    <w:rsid w:val="004211A9"/>
    <w:rsid w:val="004346CA"/>
    <w:rsid w:val="004417FD"/>
    <w:rsid w:val="0048233A"/>
    <w:rsid w:val="004A3764"/>
    <w:rsid w:val="004A53AD"/>
    <w:rsid w:val="004B38E3"/>
    <w:rsid w:val="004C0216"/>
    <w:rsid w:val="004D3BDC"/>
    <w:rsid w:val="004D3F85"/>
    <w:rsid w:val="004E1021"/>
    <w:rsid w:val="004E1F26"/>
    <w:rsid w:val="004F0251"/>
    <w:rsid w:val="004F245C"/>
    <w:rsid w:val="00505491"/>
    <w:rsid w:val="0053288E"/>
    <w:rsid w:val="00532F92"/>
    <w:rsid w:val="0053766C"/>
    <w:rsid w:val="00541AE5"/>
    <w:rsid w:val="005466B0"/>
    <w:rsid w:val="0055415C"/>
    <w:rsid w:val="005603F5"/>
    <w:rsid w:val="00575604"/>
    <w:rsid w:val="00583970"/>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6D2218"/>
    <w:rsid w:val="00736E21"/>
    <w:rsid w:val="00756072"/>
    <w:rsid w:val="00770C3E"/>
    <w:rsid w:val="007760D5"/>
    <w:rsid w:val="00793B3B"/>
    <w:rsid w:val="007942A0"/>
    <w:rsid w:val="007A26AF"/>
    <w:rsid w:val="007D7E66"/>
    <w:rsid w:val="007E5497"/>
    <w:rsid w:val="007E5B5A"/>
    <w:rsid w:val="007F01FC"/>
    <w:rsid w:val="008247A6"/>
    <w:rsid w:val="0084295B"/>
    <w:rsid w:val="0084524D"/>
    <w:rsid w:val="008454AF"/>
    <w:rsid w:val="008545D6"/>
    <w:rsid w:val="0086036E"/>
    <w:rsid w:val="008D16E6"/>
    <w:rsid w:val="008D425C"/>
    <w:rsid w:val="00905020"/>
    <w:rsid w:val="009066DA"/>
    <w:rsid w:val="00912C08"/>
    <w:rsid w:val="009362FD"/>
    <w:rsid w:val="00942777"/>
    <w:rsid w:val="00945219"/>
    <w:rsid w:val="00955657"/>
    <w:rsid w:val="009669EB"/>
    <w:rsid w:val="00976787"/>
    <w:rsid w:val="00977FBD"/>
    <w:rsid w:val="00996FA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70767"/>
    <w:rsid w:val="00A90FCD"/>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F0530"/>
    <w:rsid w:val="00C12637"/>
    <w:rsid w:val="00C15004"/>
    <w:rsid w:val="00C2192C"/>
    <w:rsid w:val="00C2781C"/>
    <w:rsid w:val="00C365EC"/>
    <w:rsid w:val="00C55AF4"/>
    <w:rsid w:val="00C62E11"/>
    <w:rsid w:val="00C73FB9"/>
    <w:rsid w:val="00C92809"/>
    <w:rsid w:val="00C9507A"/>
    <w:rsid w:val="00CB4227"/>
    <w:rsid w:val="00CC4FA4"/>
    <w:rsid w:val="00CD4C45"/>
    <w:rsid w:val="00CF1EE7"/>
    <w:rsid w:val="00CF2739"/>
    <w:rsid w:val="00D03B93"/>
    <w:rsid w:val="00D15B62"/>
    <w:rsid w:val="00D16662"/>
    <w:rsid w:val="00D17814"/>
    <w:rsid w:val="00D317D0"/>
    <w:rsid w:val="00D427FB"/>
    <w:rsid w:val="00D44DEA"/>
    <w:rsid w:val="00D45C4B"/>
    <w:rsid w:val="00D51D8A"/>
    <w:rsid w:val="00D6750B"/>
    <w:rsid w:val="00D8218B"/>
    <w:rsid w:val="00D82953"/>
    <w:rsid w:val="00D83D2E"/>
    <w:rsid w:val="00D84C7B"/>
    <w:rsid w:val="00D868EB"/>
    <w:rsid w:val="00D86E1B"/>
    <w:rsid w:val="00D958C3"/>
    <w:rsid w:val="00DD062F"/>
    <w:rsid w:val="00DD5F6F"/>
    <w:rsid w:val="00DE3EF4"/>
    <w:rsid w:val="00DE50C4"/>
    <w:rsid w:val="00E049D2"/>
    <w:rsid w:val="00E24CF6"/>
    <w:rsid w:val="00E5192C"/>
    <w:rsid w:val="00E6160E"/>
    <w:rsid w:val="00E7401A"/>
    <w:rsid w:val="00EC491B"/>
    <w:rsid w:val="00EC642A"/>
    <w:rsid w:val="00ED1697"/>
    <w:rsid w:val="00ED32B6"/>
    <w:rsid w:val="00ED4896"/>
    <w:rsid w:val="00EF7E26"/>
    <w:rsid w:val="00F06164"/>
    <w:rsid w:val="00F13BA2"/>
    <w:rsid w:val="00F151F9"/>
    <w:rsid w:val="00F1666B"/>
    <w:rsid w:val="00F31F8B"/>
    <w:rsid w:val="00F31FD6"/>
    <w:rsid w:val="00F35D08"/>
    <w:rsid w:val="00F3611C"/>
    <w:rsid w:val="00F4066D"/>
    <w:rsid w:val="00F517FA"/>
    <w:rsid w:val="00F65E01"/>
    <w:rsid w:val="00F711CF"/>
    <w:rsid w:val="00F7310B"/>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E06F3"/>
  <w15:docId w15:val="{86F5EE5D-518F-42B9-941B-B78456E9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table" w:styleId="TableGrid">
    <w:name w:val="Table Grid"/>
    <w:basedOn w:val="TableNormal"/>
    <w:uiPriority w:val="59"/>
    <w:rsid w:val="00184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039F5-97DE-49C4-B712-238B086A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1222</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3</cp:revision>
  <dcterms:created xsi:type="dcterms:W3CDTF">2020-09-23T04:29:00Z</dcterms:created>
  <dcterms:modified xsi:type="dcterms:W3CDTF">2020-09-23T04:30:00Z</dcterms:modified>
</cp:coreProperties>
</file>