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3F4" w:rsidRPr="007B6A7F" w:rsidRDefault="005073F4" w:rsidP="005073F4">
      <w:pPr>
        <w:pStyle w:val="Default"/>
        <w:spacing w:before="120" w:line="360" w:lineRule="auto"/>
        <w:jc w:val="center"/>
        <w:rPr>
          <w:sz w:val="28"/>
          <w:szCs w:val="28"/>
          <w:lang w:val="en-US"/>
        </w:rPr>
      </w:pPr>
      <w:r w:rsidRPr="007B6A7F">
        <w:rPr>
          <w:b/>
          <w:bCs/>
          <w:sz w:val="28"/>
          <w:szCs w:val="28"/>
        </w:rPr>
        <w:t>KEBIJAKAN AKUNTANSI NO. 0</w:t>
      </w:r>
      <w:r w:rsidRPr="007B6A7F">
        <w:rPr>
          <w:b/>
          <w:bCs/>
          <w:sz w:val="28"/>
          <w:szCs w:val="28"/>
          <w:lang w:val="en-US"/>
        </w:rPr>
        <w:t>9</w:t>
      </w:r>
    </w:p>
    <w:p w:rsidR="005073F4" w:rsidRPr="007B6A7F" w:rsidRDefault="005073F4" w:rsidP="005073F4">
      <w:pPr>
        <w:pStyle w:val="Default"/>
        <w:spacing w:line="360" w:lineRule="auto"/>
        <w:jc w:val="center"/>
        <w:rPr>
          <w:b/>
          <w:sz w:val="28"/>
          <w:szCs w:val="28"/>
        </w:rPr>
      </w:pPr>
      <w:r w:rsidRPr="007B6A7F">
        <w:rPr>
          <w:b/>
          <w:sz w:val="28"/>
          <w:szCs w:val="28"/>
          <w:lang w:val="en-US"/>
        </w:rPr>
        <w:t>TRANSFER</w:t>
      </w:r>
    </w:p>
    <w:p w:rsidR="005073F4" w:rsidRPr="007B6A7F" w:rsidRDefault="005073F4" w:rsidP="005073F4">
      <w:pPr>
        <w:pStyle w:val="Heading2"/>
        <w:rPr>
          <w:rFonts w:ascii="Tahoma" w:hAnsi="Tahoma" w:cs="Tahoma"/>
          <w:sz w:val="24"/>
          <w:szCs w:val="24"/>
          <w:lang w:val="en-US"/>
        </w:rPr>
      </w:pPr>
      <w:bookmarkStart w:id="0" w:name="_Toc391856019"/>
    </w:p>
    <w:bookmarkEnd w:id="0"/>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UMUM</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Tujuan</w:t>
      </w:r>
    </w:p>
    <w:p w:rsidR="005073F4" w:rsidRPr="00B10845" w:rsidRDefault="005073F4" w:rsidP="00B10845">
      <w:pPr>
        <w:numPr>
          <w:ilvl w:val="0"/>
          <w:numId w:val="27"/>
        </w:numPr>
        <w:tabs>
          <w:tab w:val="clear" w:pos="1145"/>
        </w:tabs>
        <w:autoSpaceDE w:val="0"/>
        <w:autoSpaceDN w:val="0"/>
        <w:adjustRightInd w:val="0"/>
        <w:spacing w:after="120" w:line="360" w:lineRule="auto"/>
        <w:ind w:left="851" w:hanging="425"/>
        <w:jc w:val="both"/>
        <w:rPr>
          <w:rFonts w:ascii="Tahoma" w:hAnsi="Tahoma" w:cs="Tahoma"/>
          <w:color w:val="0D0D0D"/>
          <w:sz w:val="24"/>
          <w:szCs w:val="24"/>
          <w:lang w:val="fi-FI"/>
        </w:rPr>
      </w:pPr>
      <w:r w:rsidRPr="007B6A7F">
        <w:rPr>
          <w:rFonts w:ascii="Tahoma" w:hAnsi="Tahoma" w:cs="Tahoma"/>
          <w:color w:val="0D0D0D"/>
          <w:sz w:val="24"/>
          <w:szCs w:val="24"/>
          <w:lang w:val="fi-FI"/>
        </w:rPr>
        <w:t xml:space="preserve">  Tujuan kebijakan akuntansi transfer adalah untuk mengatur perlakuan akuntansi atas transfer dan informasi lainnya dalam rangka memenuhi tujuan akuntabilitas sebagaimana ditetapkan oleh peraturan perundang-undangan.</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Ruang Lingkup</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sz w:val="24"/>
          <w:szCs w:val="24"/>
          <w:lang w:val="fi-FI"/>
        </w:rPr>
        <w:t xml:space="preserve">  Kebijakan</w:t>
      </w:r>
      <w:r w:rsidRPr="007B6A7F">
        <w:rPr>
          <w:rFonts w:ascii="Tahoma" w:hAnsi="Tahoma" w:cs="Tahoma"/>
          <w:bCs/>
          <w:iCs/>
          <w:spacing w:val="-1"/>
          <w:sz w:val="24"/>
          <w:szCs w:val="24"/>
          <w:lang w:val="sv-SE"/>
        </w:rPr>
        <w:t xml:space="preserve"> ini diterapkan dalam akuntansi transfer yang disusun dan disajikan dengan menggunakan akuntansi berbasis akrual.</w:t>
      </w:r>
    </w:p>
    <w:p w:rsidR="005073F4" w:rsidRPr="00B10845"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sz w:val="24"/>
          <w:szCs w:val="24"/>
          <w:lang w:val="fi-FI"/>
        </w:rPr>
        <w:t xml:space="preserve">  Pernyataan</w:t>
      </w:r>
      <w:r w:rsidRPr="007B6A7F">
        <w:rPr>
          <w:rFonts w:ascii="Tahoma" w:hAnsi="Tahoma" w:cs="Tahoma"/>
          <w:bCs/>
          <w:iCs/>
          <w:spacing w:val="-1"/>
          <w:sz w:val="24"/>
          <w:szCs w:val="24"/>
          <w:lang w:val="sv-SE"/>
        </w:rPr>
        <w:t xml:space="preserve"> kebijakan ini berlaku untuk entitas akuntan</w:t>
      </w:r>
      <w:r w:rsidR="0064752D">
        <w:rPr>
          <w:rFonts w:ascii="Tahoma" w:hAnsi="Tahoma" w:cs="Tahoma"/>
          <w:bCs/>
          <w:iCs/>
          <w:spacing w:val="-1"/>
          <w:sz w:val="24"/>
          <w:szCs w:val="24"/>
          <w:lang w:val="sv-SE"/>
        </w:rPr>
        <w:t xml:space="preserve">si/pelaporan pemerintah </w:t>
      </w:r>
      <w:r w:rsidR="0064752D">
        <w:rPr>
          <w:rFonts w:ascii="Tahoma" w:hAnsi="Tahoma" w:cs="Tahoma"/>
          <w:bCs/>
          <w:iCs/>
          <w:spacing w:val="-1"/>
          <w:sz w:val="24"/>
          <w:szCs w:val="24"/>
        </w:rPr>
        <w:t>kota Dumai</w:t>
      </w:r>
      <w:r w:rsidRPr="007B6A7F">
        <w:rPr>
          <w:rFonts w:ascii="Tahoma" w:hAnsi="Tahoma" w:cs="Tahoma"/>
          <w:bCs/>
          <w:iCs/>
          <w:spacing w:val="-1"/>
          <w:sz w:val="24"/>
          <w:szCs w:val="24"/>
          <w:lang w:val="sv-SE"/>
        </w:rPr>
        <w:t xml:space="preserve">, yang memperoleh anggaran berdasarkan APBD, </w:t>
      </w:r>
      <w:r w:rsidRPr="0064752D">
        <w:rPr>
          <w:rFonts w:ascii="Tahoma" w:hAnsi="Tahoma" w:cs="Tahoma"/>
          <w:bCs/>
          <w:iCs/>
          <w:spacing w:val="-1"/>
          <w:sz w:val="24"/>
          <w:szCs w:val="24"/>
          <w:lang w:val="sv-SE"/>
        </w:rPr>
        <w:t>tidak termasuk</w:t>
      </w:r>
      <w:r w:rsidRPr="007B6A7F">
        <w:rPr>
          <w:rFonts w:ascii="Tahoma" w:hAnsi="Tahoma" w:cs="Tahoma"/>
          <w:bCs/>
          <w:iCs/>
          <w:spacing w:val="-1"/>
          <w:sz w:val="24"/>
          <w:szCs w:val="24"/>
          <w:lang w:val="sv-SE"/>
        </w:rPr>
        <w:t xml:space="preserve"> perusahaan daerah.</w:t>
      </w:r>
    </w:p>
    <w:p w:rsidR="00B10845" w:rsidRPr="007B6A7F" w:rsidRDefault="00B10845"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color w:val="0D0D0D"/>
          <w:sz w:val="24"/>
          <w:szCs w:val="24"/>
          <w:lang w:val="fi-FI"/>
        </w:rPr>
        <w:t xml:space="preserve">Perlakuan akuntansi transfer mencakup definisi, pengakuan, </w:t>
      </w:r>
      <w:r>
        <w:rPr>
          <w:rFonts w:ascii="Tahoma" w:hAnsi="Tahoma" w:cs="Tahoma"/>
          <w:color w:val="0D0D0D"/>
          <w:sz w:val="24"/>
          <w:szCs w:val="24"/>
        </w:rPr>
        <w:t>pengukuran</w:t>
      </w:r>
      <w:r w:rsidR="00E75418">
        <w:rPr>
          <w:rFonts w:ascii="Tahoma" w:hAnsi="Tahoma" w:cs="Tahoma"/>
          <w:color w:val="0D0D0D"/>
          <w:sz w:val="24"/>
          <w:szCs w:val="24"/>
        </w:rPr>
        <w:t>, penilaian</w:t>
      </w:r>
      <w:r>
        <w:rPr>
          <w:rFonts w:ascii="Tahoma" w:hAnsi="Tahoma" w:cs="Tahoma"/>
          <w:color w:val="0D0D0D"/>
          <w:sz w:val="24"/>
          <w:szCs w:val="24"/>
        </w:rPr>
        <w:t xml:space="preserve"> </w:t>
      </w:r>
      <w:r w:rsidRPr="007B6A7F">
        <w:rPr>
          <w:rFonts w:ascii="Tahoma" w:hAnsi="Tahoma" w:cs="Tahoma"/>
          <w:color w:val="0D0D0D"/>
          <w:sz w:val="24"/>
          <w:szCs w:val="24"/>
          <w:lang w:val="fi-FI"/>
        </w:rPr>
        <w:t>dan pengungkapannya.</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 xml:space="preserve">Definisi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lang w:val="fi-FI"/>
        </w:rPr>
        <w:t xml:space="preserve"> </w:t>
      </w:r>
      <w:r w:rsidRPr="00916D56">
        <w:rPr>
          <w:rFonts w:ascii="Tahoma" w:hAnsi="Tahoma" w:cs="Tahoma"/>
          <w:b/>
          <w:sz w:val="24"/>
          <w:szCs w:val="24"/>
          <w:lang w:val="fi-FI"/>
        </w:rPr>
        <w:t>Transfer</w:t>
      </w:r>
      <w:r w:rsidRPr="007B6A7F">
        <w:rPr>
          <w:rFonts w:ascii="Tahoma" w:hAnsi="Tahoma" w:cs="Tahoma"/>
          <w:sz w:val="24"/>
          <w:szCs w:val="24"/>
          <w:lang w:val="fi-FI"/>
        </w:rPr>
        <w:t xml:space="preserve"> adalah penerimaan atau pengeluaran uang oleh suatu entitas pelaporan dari/kepada entitas pelaporan lain, termasuk dana perimbangan dan dana bagi hasil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Transfer Masuk (LRA)</w:t>
      </w:r>
      <w:r w:rsidRPr="007B6A7F">
        <w:rPr>
          <w:rFonts w:ascii="Tahoma" w:hAnsi="Tahoma" w:cs="Tahoma"/>
          <w:sz w:val="24"/>
          <w:szCs w:val="24"/>
        </w:rPr>
        <w:t xml:space="preserve"> adalah penerimaan uang dari entitas pelaporan lain, misalnya penerimaan dana perimbangan dari pemerintah pusat dan dana bagi hasil dari Pemerintah Provinsi</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Transfer Keluar (LRA)</w:t>
      </w:r>
      <w:r w:rsidRPr="007B6A7F">
        <w:rPr>
          <w:rFonts w:ascii="Tahoma" w:hAnsi="Tahoma" w:cs="Tahoma"/>
          <w:sz w:val="24"/>
          <w:szCs w:val="24"/>
        </w:rPr>
        <w:t xml:space="preserve"> adalah pengeluaran dari entitas pelaporan ke entitas pelaporan lain seperti pengeluaran dana perimbangan oleh </w:t>
      </w:r>
      <w:bookmarkStart w:id="1" w:name="_GoBack"/>
      <w:bookmarkEnd w:id="1"/>
      <w:r w:rsidRPr="007B6A7F">
        <w:rPr>
          <w:rFonts w:ascii="Tahoma" w:hAnsi="Tahoma" w:cs="Tahoma"/>
          <w:sz w:val="24"/>
          <w:szCs w:val="24"/>
        </w:rPr>
        <w:lastRenderedPageBreak/>
        <w:t>pemerintah pusat dan dana bagi hasil oleh pemerintah daerah</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Pendapatan Transfer (LO)</w:t>
      </w:r>
      <w:r w:rsidRPr="007B6A7F">
        <w:rPr>
          <w:rFonts w:ascii="Tahoma" w:hAnsi="Tahoma" w:cs="Tahoma"/>
          <w:sz w:val="24"/>
          <w:szCs w:val="24"/>
        </w:rPr>
        <w:t xml:space="preserve"> adalah pendapatan berupa penerimaan uang atau hak untuk menerima uang oleh entitas pelaporan dari suatu entintas pelaporan lain yang diwajibkan oleh peraturan perundang-undangan.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Beban Transfer (LO)</w:t>
      </w:r>
      <w:r w:rsidRPr="007B6A7F">
        <w:rPr>
          <w:rFonts w:ascii="Tahoma" w:hAnsi="Tahoma" w:cs="Tahoma"/>
          <w:sz w:val="24"/>
          <w:szCs w:val="24"/>
        </w:rPr>
        <w:t xml:space="preserve"> adalah beban berupa pengeluaran uang atau kewajiban untuk mengeluarkan uang dari entitas pelaporan kepada suatu entitas pelaporan lain yang diwajibkan oleh peraturan perundang-undangan.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Transfer diklasifikasikan menurut sumber dan entitas penerimanya, yaitu mengelompokkan transfer berdasarkan sumber transfer untuk pendapatan transfer dan berdasarkan entitas penerima untuk transfer/beban transfer sesuai </w:t>
      </w:r>
      <w:r w:rsidR="00F71595">
        <w:rPr>
          <w:rFonts w:ascii="Tahoma" w:hAnsi="Tahoma" w:cs="Tahoma"/>
          <w:sz w:val="24"/>
          <w:szCs w:val="24"/>
        </w:rPr>
        <w:t>Bagan Akun Standar (</w:t>
      </w:r>
      <w:r w:rsidRPr="007B6A7F">
        <w:rPr>
          <w:rFonts w:ascii="Tahoma" w:hAnsi="Tahoma" w:cs="Tahoma"/>
          <w:sz w:val="24"/>
          <w:szCs w:val="24"/>
        </w:rPr>
        <w:t>BAS</w:t>
      </w:r>
      <w:r w:rsidR="00F71595">
        <w:rPr>
          <w:rFonts w:ascii="Tahoma" w:hAnsi="Tahoma" w:cs="Tahoma"/>
          <w:sz w:val="24"/>
          <w:szCs w:val="24"/>
        </w:rPr>
        <w:t>)</w:t>
      </w:r>
      <w:r w:rsidRPr="007B6A7F">
        <w:rPr>
          <w:rFonts w:ascii="Tahoma" w:hAnsi="Tahoma" w:cs="Tahoma"/>
          <w:sz w:val="24"/>
          <w:szCs w:val="24"/>
        </w:rPr>
        <w:t>.</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Klasifikasi transfer menurut sumber dan entitas penerima </w:t>
      </w:r>
      <w:r w:rsidR="003271EA">
        <w:rPr>
          <w:rFonts w:ascii="Tahoma" w:hAnsi="Tahoma" w:cs="Tahoma"/>
          <w:sz w:val="24"/>
          <w:szCs w:val="24"/>
        </w:rPr>
        <w:t>diatur</w:t>
      </w:r>
      <w:r w:rsidR="00F71595">
        <w:rPr>
          <w:rFonts w:ascii="Tahoma" w:hAnsi="Tahoma" w:cs="Tahoma"/>
          <w:sz w:val="24"/>
          <w:szCs w:val="24"/>
        </w:rPr>
        <w:t xml:space="preserve"> </w:t>
      </w:r>
      <w:r w:rsidRPr="007B6A7F">
        <w:rPr>
          <w:rFonts w:ascii="Tahoma" w:hAnsi="Tahoma" w:cs="Tahoma"/>
          <w:sz w:val="24"/>
          <w:szCs w:val="24"/>
        </w:rPr>
        <w:t>dalam Bagan Akun Standar</w:t>
      </w:r>
      <w:r w:rsidR="00F71595">
        <w:rPr>
          <w:rFonts w:ascii="Tahoma" w:hAnsi="Tahoma" w:cs="Tahoma"/>
          <w:sz w:val="24"/>
          <w:szCs w:val="24"/>
        </w:rPr>
        <w:t xml:space="preserve"> (BAS).</w:t>
      </w:r>
    </w:p>
    <w:p w:rsidR="005073F4" w:rsidRPr="007B6A7F" w:rsidRDefault="005073F4" w:rsidP="005073F4">
      <w:pPr>
        <w:pStyle w:val="ListParagraph"/>
        <w:widowControl w:val="0"/>
        <w:autoSpaceDE w:val="0"/>
        <w:autoSpaceDN w:val="0"/>
        <w:adjustRightInd w:val="0"/>
        <w:spacing w:after="120" w:line="360" w:lineRule="auto"/>
        <w:ind w:left="1560"/>
        <w:jc w:val="both"/>
        <w:rPr>
          <w:rFonts w:ascii="Tahoma" w:hAnsi="Tahoma" w:cs="Tahoma"/>
          <w:strike/>
          <w:sz w:val="24"/>
          <w:szCs w:val="24"/>
          <w:lang w:val="fi-FI"/>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PENGAKUAN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sz w:val="24"/>
          <w:szCs w:val="24"/>
          <w:lang w:val="fi-FI"/>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Untuk kepentingan penyajian transfer masuk pada Laporan Realisasi Anggaran, pengakuan atas transfer masuk dilakukan pada saat transfer masuk ke Rekening Kas Umum Daerah.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contextualSpacing w:val="0"/>
        <w:jc w:val="both"/>
        <w:rPr>
          <w:rFonts w:ascii="Tahoma" w:hAnsi="Tahoma" w:cs="Tahoma"/>
          <w:sz w:val="24"/>
          <w:szCs w:val="24"/>
        </w:rPr>
      </w:pPr>
      <w:r w:rsidRPr="007B6A7F">
        <w:rPr>
          <w:rFonts w:ascii="Tahoma" w:hAnsi="Tahoma" w:cs="Tahoma"/>
          <w:sz w:val="24"/>
          <w:szCs w:val="24"/>
        </w:rPr>
        <w:t>Untuk kepentingan penyajian</w:t>
      </w:r>
      <w:r w:rsidR="00412359">
        <w:rPr>
          <w:rFonts w:ascii="Tahoma" w:hAnsi="Tahoma" w:cs="Tahoma"/>
          <w:sz w:val="24"/>
          <w:szCs w:val="24"/>
        </w:rPr>
        <w:t xml:space="preserve"> pendapatan transfer </w:t>
      </w:r>
      <w:r w:rsidRPr="007B6A7F">
        <w:rPr>
          <w:rFonts w:ascii="Tahoma" w:hAnsi="Tahoma" w:cs="Tahoma"/>
          <w:sz w:val="24"/>
          <w:szCs w:val="24"/>
        </w:rPr>
        <w:t>dalam Laporan Operasional, pengakuan masing-masing jenis pendapatan transfer dilakukan pada saat:</w:t>
      </w:r>
    </w:p>
    <w:p w:rsidR="005073F4" w:rsidRPr="007B6A7F" w:rsidRDefault="005073F4" w:rsidP="005073F4">
      <w:pPr>
        <w:pStyle w:val="ListParagraph"/>
        <w:widowControl w:val="0"/>
        <w:numPr>
          <w:ilvl w:val="0"/>
          <w:numId w:val="26"/>
        </w:numPr>
        <w:autoSpaceDE w:val="0"/>
        <w:autoSpaceDN w:val="0"/>
        <w:adjustRightInd w:val="0"/>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Timbulnya hak atas pendapatan (</w:t>
      </w:r>
      <w:r w:rsidRPr="00C93FD0">
        <w:rPr>
          <w:rFonts w:ascii="Tahoma" w:hAnsi="Tahoma" w:cs="Tahoma"/>
          <w:i/>
          <w:sz w:val="24"/>
          <w:szCs w:val="24"/>
        </w:rPr>
        <w:t>earned</w:t>
      </w:r>
      <w:r w:rsidRPr="007B6A7F">
        <w:rPr>
          <w:rFonts w:ascii="Tahoma" w:hAnsi="Tahoma" w:cs="Tahoma"/>
          <w:sz w:val="24"/>
          <w:szCs w:val="24"/>
        </w:rPr>
        <w:t>) atau</w:t>
      </w:r>
    </w:p>
    <w:p w:rsidR="005073F4" w:rsidRPr="007B6A7F" w:rsidRDefault="005073F4" w:rsidP="005073F4">
      <w:pPr>
        <w:pStyle w:val="ListParagraph"/>
        <w:widowControl w:val="0"/>
        <w:numPr>
          <w:ilvl w:val="0"/>
          <w:numId w:val="26"/>
        </w:numPr>
        <w:autoSpaceDE w:val="0"/>
        <w:autoSpaceDN w:val="0"/>
        <w:adjustRightInd w:val="0"/>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Pendapatan direalisasi yaitu aliran masuk sumber daya ekonomi (</w:t>
      </w:r>
      <w:r w:rsidRPr="00C93FD0">
        <w:rPr>
          <w:rFonts w:ascii="Tahoma" w:hAnsi="Tahoma" w:cs="Tahoma"/>
          <w:i/>
          <w:sz w:val="24"/>
          <w:szCs w:val="24"/>
        </w:rPr>
        <w:t>realized</w:t>
      </w:r>
      <w:r w:rsidRPr="007B6A7F">
        <w:rPr>
          <w:rFonts w:ascii="Tahoma" w:hAnsi="Tahoma" w:cs="Tahoma"/>
          <w:sz w:val="24"/>
          <w:szCs w:val="24"/>
        </w:rPr>
        <w:t>)</w:t>
      </w:r>
    </w:p>
    <w:p w:rsidR="00400EAD" w:rsidRPr="00400EAD" w:rsidRDefault="005073F4" w:rsidP="006F350A">
      <w:pPr>
        <w:pStyle w:val="ListParagraph"/>
        <w:widowControl w:val="0"/>
        <w:numPr>
          <w:ilvl w:val="0"/>
          <w:numId w:val="27"/>
        </w:numPr>
        <w:tabs>
          <w:tab w:val="clear" w:pos="1145"/>
        </w:tabs>
        <w:autoSpaceDE w:val="0"/>
        <w:autoSpaceDN w:val="0"/>
        <w:adjustRightInd w:val="0"/>
        <w:spacing w:after="120" w:line="360" w:lineRule="auto"/>
        <w:ind w:left="425" w:hanging="425"/>
        <w:jc w:val="both"/>
        <w:rPr>
          <w:rFonts w:ascii="Tahoma" w:hAnsi="Tahoma" w:cs="Tahoma"/>
          <w:b/>
          <w:sz w:val="24"/>
          <w:szCs w:val="24"/>
          <w:highlight w:val="yellow"/>
        </w:rPr>
      </w:pPr>
      <w:r w:rsidRPr="00C93FD0">
        <w:rPr>
          <w:rFonts w:ascii="Tahoma" w:hAnsi="Tahoma" w:cs="Tahoma"/>
          <w:spacing w:val="-1"/>
          <w:sz w:val="24"/>
          <w:szCs w:val="24"/>
        </w:rPr>
        <w:t xml:space="preserve">Pengakuan pendapatan transfer dilakukan bersamaan dengan penerimaan </w:t>
      </w:r>
      <w:r w:rsidRPr="00C93FD0">
        <w:rPr>
          <w:rFonts w:ascii="Tahoma" w:hAnsi="Tahoma" w:cs="Tahoma"/>
          <w:spacing w:val="-1"/>
          <w:sz w:val="24"/>
          <w:szCs w:val="24"/>
        </w:rPr>
        <w:lastRenderedPageBreak/>
        <w:t xml:space="preserve">kas selama periode berjalan. </w:t>
      </w:r>
      <w:r w:rsidR="00C93FD0" w:rsidRPr="00400EAD">
        <w:rPr>
          <w:rFonts w:ascii="Tahoma" w:hAnsi="Tahoma" w:cs="Tahoma"/>
          <w:spacing w:val="-1"/>
          <w:sz w:val="24"/>
          <w:szCs w:val="24"/>
          <w:highlight w:val="yellow"/>
          <w:lang w:val="en-US"/>
        </w:rPr>
        <w:t>apabila</w:t>
      </w:r>
      <w:r w:rsidRPr="00400EAD">
        <w:rPr>
          <w:rFonts w:ascii="Tahoma" w:hAnsi="Tahoma" w:cs="Tahoma"/>
          <w:spacing w:val="-1"/>
          <w:sz w:val="24"/>
          <w:szCs w:val="24"/>
          <w:highlight w:val="yellow"/>
        </w:rPr>
        <w:t xml:space="preserve"> pada saat </w:t>
      </w:r>
      <w:r w:rsidR="00C93FD0" w:rsidRPr="00400EAD">
        <w:rPr>
          <w:rFonts w:ascii="Tahoma" w:hAnsi="Tahoma" w:cs="Tahoma"/>
          <w:spacing w:val="-1"/>
          <w:sz w:val="24"/>
          <w:szCs w:val="24"/>
          <w:highlight w:val="yellow"/>
          <w:lang w:val="en-US"/>
        </w:rPr>
        <w:t xml:space="preserve">proses </w:t>
      </w:r>
      <w:r w:rsidRPr="00400EAD">
        <w:rPr>
          <w:rFonts w:ascii="Tahoma" w:hAnsi="Tahoma" w:cs="Tahoma"/>
          <w:spacing w:val="-1"/>
          <w:sz w:val="24"/>
          <w:szCs w:val="24"/>
          <w:highlight w:val="yellow"/>
        </w:rPr>
        <w:t>penyusunan laporan keuangan</w:t>
      </w:r>
      <w:r w:rsidR="00C93FD0" w:rsidRPr="00400EAD">
        <w:rPr>
          <w:rFonts w:ascii="Tahoma" w:hAnsi="Tahoma" w:cs="Tahoma"/>
          <w:spacing w:val="-1"/>
          <w:sz w:val="24"/>
          <w:szCs w:val="24"/>
          <w:highlight w:val="yellow"/>
          <w:lang w:val="en-US"/>
        </w:rPr>
        <w:t xml:space="preserve"> tahun berkenaan terjadi transfer atas pendapatan tahun berkenaan dan tahun tahun sebelumnya, yang penerimaan kasnya setelah tanggal 31 Desember tahun berkenaan sampai saat penerbitan laporan keuangan</w:t>
      </w:r>
      <w:r w:rsidRPr="00400EAD">
        <w:rPr>
          <w:rFonts w:ascii="Tahoma" w:hAnsi="Tahoma" w:cs="Tahoma"/>
          <w:spacing w:val="-1"/>
          <w:sz w:val="24"/>
          <w:szCs w:val="24"/>
          <w:highlight w:val="yellow"/>
        </w:rPr>
        <w:t xml:space="preserve">, </w:t>
      </w:r>
      <w:r w:rsidR="00400EAD" w:rsidRPr="00400EAD">
        <w:rPr>
          <w:rFonts w:ascii="Tahoma" w:hAnsi="Tahoma" w:cs="Tahoma"/>
          <w:spacing w:val="-1"/>
          <w:sz w:val="24"/>
          <w:szCs w:val="24"/>
          <w:highlight w:val="yellow"/>
          <w:lang w:val="en-US"/>
        </w:rPr>
        <w:t>maka pendapatan tersebut diakui sebagai pendapatan – LO tahun berkenaan.</w:t>
      </w:r>
    </w:p>
    <w:p w:rsidR="00400EAD" w:rsidRPr="00400EAD" w:rsidRDefault="00400EAD" w:rsidP="00400EAD">
      <w:pPr>
        <w:pStyle w:val="ListParagraph"/>
        <w:widowControl w:val="0"/>
        <w:autoSpaceDE w:val="0"/>
        <w:autoSpaceDN w:val="0"/>
        <w:adjustRightInd w:val="0"/>
        <w:spacing w:after="120" w:line="360" w:lineRule="auto"/>
        <w:ind w:left="425"/>
        <w:jc w:val="both"/>
        <w:rPr>
          <w:rFonts w:ascii="Tahoma" w:hAnsi="Tahoma" w:cs="Tahoma"/>
          <w:b/>
          <w:sz w:val="24"/>
          <w:szCs w:val="24"/>
        </w:rPr>
      </w:pPr>
    </w:p>
    <w:p w:rsidR="005073F4" w:rsidRPr="00C93FD0" w:rsidRDefault="005073F4" w:rsidP="00400EAD">
      <w:pPr>
        <w:pStyle w:val="ListParagraph"/>
        <w:widowControl w:val="0"/>
        <w:autoSpaceDE w:val="0"/>
        <w:autoSpaceDN w:val="0"/>
        <w:adjustRightInd w:val="0"/>
        <w:spacing w:after="120" w:line="360" w:lineRule="auto"/>
        <w:ind w:left="425"/>
        <w:jc w:val="both"/>
        <w:rPr>
          <w:rFonts w:ascii="Tahoma" w:hAnsi="Tahoma" w:cs="Tahoma"/>
          <w:b/>
          <w:sz w:val="24"/>
          <w:szCs w:val="24"/>
        </w:rPr>
      </w:pPr>
      <w:r w:rsidRPr="00C93FD0">
        <w:rPr>
          <w:rFonts w:ascii="Tahoma" w:hAnsi="Tahoma" w:cs="Tahoma"/>
          <w:b/>
          <w:sz w:val="24"/>
          <w:szCs w:val="24"/>
        </w:rPr>
        <w:t>Transfer Keluar dan Beban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transfer keluar pada Laporan Realisasi Anggaran, pengakuan atas transfer keluar dilakukan pa</w:t>
      </w:r>
      <w:r w:rsidR="003271EA">
        <w:rPr>
          <w:rFonts w:ascii="Tahoma" w:hAnsi="Tahoma" w:cs="Tahoma"/>
          <w:sz w:val="24"/>
          <w:szCs w:val="24"/>
        </w:rPr>
        <w:t>da saat terbitnya SP2D atas belanja</w:t>
      </w:r>
      <w:r w:rsidRPr="007B6A7F">
        <w:rPr>
          <w:rFonts w:ascii="Tahoma" w:hAnsi="Tahoma" w:cs="Tahoma"/>
          <w:sz w:val="24"/>
          <w:szCs w:val="24"/>
        </w:rPr>
        <w:t xml:space="preserve"> anggaran transfer keluar.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beban transfer pada penyusunan Laporan Operasional, p</w:t>
      </w:r>
      <w:r w:rsidRPr="007B6A7F">
        <w:rPr>
          <w:rFonts w:ascii="Tahoma" w:hAnsi="Tahoma" w:cs="Tahoma"/>
          <w:spacing w:val="-1"/>
          <w:sz w:val="24"/>
          <w:szCs w:val="24"/>
        </w:rPr>
        <w:t xml:space="preserve">engakuan beban transfer pada periode berjalan dilakukan bersamaan dengan pengeluaran kas yaitu </w:t>
      </w:r>
      <w:r w:rsidRPr="007B6A7F">
        <w:rPr>
          <w:rFonts w:ascii="Tahoma" w:hAnsi="Tahoma" w:cs="Tahoma"/>
          <w:sz w:val="24"/>
          <w:szCs w:val="24"/>
        </w:rPr>
        <w:t xml:space="preserve">pada saat diterbitkannya SP2D. </w:t>
      </w:r>
      <w:r w:rsidRPr="007B6A7F">
        <w:rPr>
          <w:rFonts w:ascii="Tahoma" w:hAnsi="Tahoma" w:cs="Tahoma"/>
          <w:spacing w:val="-1"/>
          <w:sz w:val="24"/>
          <w:szCs w:val="24"/>
        </w:rPr>
        <w:t xml:space="preserve">Sedangkan pengakuan beban transfer pada saat penyusunan laporan keuangan dilakukan penyesuaian berdasarkan dokumen yang menyatakan </w:t>
      </w:r>
      <w:r w:rsidRPr="007B6A7F">
        <w:rPr>
          <w:rFonts w:ascii="Tahoma" w:hAnsi="Tahoma" w:cs="Tahoma"/>
          <w:sz w:val="24"/>
          <w:szCs w:val="24"/>
        </w:rPr>
        <w:t xml:space="preserve">kewajiban transfer pemerintah daerah yang bersangkutan kepada pemerintah daerah lainnya/desa. </w:t>
      </w:r>
    </w:p>
    <w:p w:rsidR="005073F4" w:rsidRPr="007B6A7F" w:rsidRDefault="005073F4" w:rsidP="005073F4">
      <w:pPr>
        <w:pStyle w:val="ListParagraph"/>
        <w:widowControl w:val="0"/>
        <w:autoSpaceDE w:val="0"/>
        <w:autoSpaceDN w:val="0"/>
        <w:adjustRightInd w:val="0"/>
        <w:spacing w:after="120" w:line="360" w:lineRule="auto"/>
        <w:ind w:left="851"/>
        <w:jc w:val="both"/>
        <w:rPr>
          <w:rFonts w:ascii="Tahoma" w:hAnsi="Tahoma" w:cs="Tahoma"/>
          <w:sz w:val="24"/>
          <w:szCs w:val="24"/>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PENGUKURAN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transfer masuk pada Laporan Realisasi Anggaran, transfer masuk diukur dan dicatat berdasarkan jumlah transfer yang masuk ke Rekening Kas Umum Daerah.</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penyusunan penyajian pendapatan transfer pada Laporan Operasional, pendapatan transfer diukur dan dicatat berdasarkan hak atas pendapatan transfer bagi pemerintah daerah.</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Keluar dan Beban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lastRenderedPageBreak/>
        <w:t>Untuk kepentingan penyusunan Laporan Realisasi Anggaran, transfer keluar diukur dan dicatat sebesar nilai SP2</w:t>
      </w:r>
      <w:r w:rsidR="003271EA">
        <w:rPr>
          <w:rFonts w:ascii="Tahoma" w:hAnsi="Tahoma" w:cs="Tahoma"/>
          <w:sz w:val="24"/>
          <w:szCs w:val="24"/>
        </w:rPr>
        <w:t>D yang diterbitkan atas belanja</w:t>
      </w:r>
      <w:r w:rsidRPr="007B6A7F">
        <w:rPr>
          <w:rFonts w:ascii="Tahoma" w:hAnsi="Tahoma" w:cs="Tahoma"/>
          <w:sz w:val="24"/>
          <w:szCs w:val="24"/>
        </w:rPr>
        <w:t xml:space="preserve"> anggaran transfer keluar.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 xml:space="preserve">Untuk kepentingan  penyusunan Laporan Operasional, beban transfer diukur dan dicatat sebesar  kewajiban transfer pemerintah daerah yang bersangkutan kepada pemerintah daerah lainnya/desa berdasarkan dokumen yang sah sesuai ketentuan yang berlaku. </w:t>
      </w:r>
    </w:p>
    <w:p w:rsidR="005073F4" w:rsidRPr="007B6A7F" w:rsidRDefault="005073F4" w:rsidP="005073F4">
      <w:pPr>
        <w:pStyle w:val="ListParagraph"/>
        <w:widowControl w:val="0"/>
        <w:autoSpaceDE w:val="0"/>
        <w:autoSpaceDN w:val="0"/>
        <w:adjustRightInd w:val="0"/>
        <w:spacing w:after="120" w:line="360" w:lineRule="auto"/>
        <w:ind w:left="851"/>
        <w:jc w:val="both"/>
        <w:rPr>
          <w:rFonts w:ascii="Tahoma" w:hAnsi="Tahoma" w:cs="Tahoma"/>
          <w:sz w:val="24"/>
          <w:szCs w:val="24"/>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PENILAIAN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Transfer masuk dinilai berdasarkan asas bruto, yaitu dengan membukukan penerimaan bruto, dan tidak mencatat jumlah nettonya (setelah dikompensasikan dengan pengeluaran).</w:t>
      </w:r>
    </w:p>
    <w:p w:rsidR="005073F4" w:rsidRPr="007B6A7F" w:rsidRDefault="005073F4" w:rsidP="005073F4">
      <w:pPr>
        <w:pStyle w:val="ListParagraph"/>
        <w:numPr>
          <w:ilvl w:val="0"/>
          <w:numId w:val="25"/>
        </w:numPr>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Dalam hal terdapat pemotongan Dana Transfer dari Pemerintah Pusat sebagai akibat pemerintah daerah yang bersangkutan tidak memenuhi kewajiban finansial seperti pembayaran pinjaman pemerintah daerah yang tertunggak  dan dikompensasikan sebagai pembayaran hutang pemerintah daerah, maka dalam laporan realisasi anggaran tetap disajikan sebagai transfer DAU dan pengeluaran pembiayaan pembayaran pinjaman pemerintah daerah. Hal ini juga berlaku untuk penyajian dalam Laporan Operasional.</w:t>
      </w:r>
    </w:p>
    <w:p w:rsidR="005073F4" w:rsidRPr="007B6A7F" w:rsidRDefault="005073F4" w:rsidP="005073F4">
      <w:pPr>
        <w:pStyle w:val="ListParagraph"/>
        <w:spacing w:after="120" w:line="360" w:lineRule="auto"/>
        <w:ind w:left="1134"/>
        <w:contextualSpacing w:val="0"/>
        <w:jc w:val="both"/>
        <w:rPr>
          <w:rFonts w:ascii="Tahoma" w:hAnsi="Tahoma" w:cs="Tahoma"/>
          <w:sz w:val="24"/>
          <w:szCs w:val="24"/>
        </w:rPr>
      </w:pPr>
      <w:r w:rsidRPr="007B6A7F">
        <w:rPr>
          <w:rFonts w:ascii="Tahoma" w:hAnsi="Tahoma" w:cs="Tahoma"/>
          <w:sz w:val="24"/>
          <w:szCs w:val="24"/>
        </w:rPr>
        <w:t xml:space="preserve">Namun jika pemotongan Dana Transfer misalnya DAU merupakan bentuk hukuman yang diberikan pemerintah pusat kepada pemerintah daerah tanpa disertai dengan kompensasi pengurangan kewajiban pemerintah daerah kepada pemerintah pusat maka atas pemotongan DAU tersebut diperlakukan sebagai koreksi pengurangan hak pemerintah daerah atas pendapatan transfer DAU tahun anggaran berjalan. </w:t>
      </w:r>
    </w:p>
    <w:p w:rsidR="005073F4" w:rsidRPr="00916D56" w:rsidRDefault="005073F4" w:rsidP="00916D56">
      <w:pPr>
        <w:pStyle w:val="ListParagraph"/>
        <w:numPr>
          <w:ilvl w:val="0"/>
          <w:numId w:val="25"/>
        </w:numPr>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lastRenderedPageBreak/>
        <w:t xml:space="preserve">Dalam hal terdapat pemotongan Dana Transfer karena adanya kelebihan penyaluran Dana Transfer pada tahun anggaran sebelumnya, maka pemotongan dana transfer diperlakukan sebagai pengurangan hak pemerintah daerah pada tahun anggaran berjalan untuk jenis transfer yang sama. </w:t>
      </w: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PENGUNGKAPAN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Pengungkapan atas transfer masuk dan pendapatan transfer dalam Catatan atas Laporan Keuangan adalah sebagai berikut :</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rincian atas anggaran dan realisasi transfer masuk pada Laporan Realisasi Anggaran dan realisasi pendapatan transfer pada Laporan Operasional beserta perbandingannya dengan realisasi tahun anggaran sebelumnya</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atas penyebab terjadinya selisih antara anggaran transfer masuk dengan realisasinya.</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 xml:space="preserve">Penjelasan atas perbedaan nilai realisasi transfer masuk dalam Laporan Realisasi Anggaran dengan realisasi pendapatan transfer pada Laporan Operasional. </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Informasi lainnya yang dianggap perlu.</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Pengungkapan atas transfer keluar dan beban transfer dalam Catatan atas Laporan Keuangan adalah sebagai berikut :</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rincian atas anggaran dan realisasi transfer keluar pada Laporan Realisasi Anggaran, rincian realisasi beban transfer pada Laporan Operasional beserta perbandingannya dengan tahun anggaran sebelumnya.</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atas penyebab terjadinya selisih antara anggaran transfer keluar dengan realisasinya.</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lastRenderedPageBreak/>
        <w:t>Penjelasan atas perbedaan nilai realisasi transfer keluar dalam Laporan Realisasi Anggaran dengan realisasi beban transfer pada Laporan Operasional.</w:t>
      </w:r>
    </w:p>
    <w:p w:rsidR="00626331" w:rsidRPr="00513886"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Informasi lainnya yang dianggap perlu.</w:t>
      </w:r>
    </w:p>
    <w:sectPr w:rsidR="00626331" w:rsidRPr="00513886"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909" w:rsidRDefault="00825909" w:rsidP="004E1021">
      <w:pPr>
        <w:spacing w:after="0" w:line="240" w:lineRule="auto"/>
      </w:pPr>
      <w:r>
        <w:separator/>
      </w:r>
    </w:p>
  </w:endnote>
  <w:endnote w:type="continuationSeparator" w:id="0">
    <w:p w:rsidR="00825909" w:rsidRDefault="00825909"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97" w:rsidRPr="00770C3E" w:rsidRDefault="00400EAD"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F45987"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8D425C">
      <w:rPr>
        <w:rFonts w:ascii="Tahoma" w:hAnsi="Tahoma" w:cs="Tahoma"/>
        <w:sz w:val="24"/>
        <w:szCs w:val="24"/>
        <w:lang w:val="en-US"/>
      </w:rPr>
      <w:t xml:space="preserve">Kebijakan Akuntansi </w:t>
    </w:r>
    <w:r w:rsidR="000546FF">
      <w:rPr>
        <w:rFonts w:ascii="Tahoma" w:hAnsi="Tahoma" w:cs="Tahoma"/>
        <w:sz w:val="24"/>
        <w:szCs w:val="24"/>
        <w:lang w:val="en-US"/>
      </w:rPr>
      <w:t>No.09</w:t>
    </w:r>
    <w:r w:rsidR="008D425C">
      <w:rPr>
        <w:rFonts w:ascii="Tahoma" w:hAnsi="Tahoma" w:cs="Tahoma"/>
        <w:sz w:val="24"/>
        <w:szCs w:val="24"/>
        <w:lang w:val="en-US"/>
      </w:rPr>
      <w:tab/>
    </w:r>
    <w:r w:rsidR="00513886">
      <w:rPr>
        <w:rFonts w:ascii="Tahoma" w:hAnsi="Tahoma" w:cs="Tahoma"/>
        <w:sz w:val="24"/>
        <w:szCs w:val="24"/>
        <w:lang w:val="en-US"/>
      </w:rPr>
      <w:t xml:space="preserve">   </w:t>
    </w:r>
    <w:r w:rsidR="008D425C">
      <w:rPr>
        <w:rFonts w:ascii="Tahoma" w:hAnsi="Tahoma" w:cs="Tahoma"/>
        <w:sz w:val="24"/>
        <w:szCs w:val="24"/>
        <w:lang w:val="en-US"/>
      </w:rPr>
      <w:t xml:space="preserve">Halaman </w:t>
    </w:r>
    <w:r w:rsidR="00D40FC6"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D40FC6" w:rsidRPr="00770C3E">
      <w:rPr>
        <w:rFonts w:ascii="Tahoma" w:hAnsi="Tahoma" w:cs="Tahoma"/>
        <w:sz w:val="24"/>
        <w:szCs w:val="24"/>
      </w:rPr>
      <w:fldChar w:fldCharType="separate"/>
    </w:r>
    <w:r w:rsidR="00213715">
      <w:rPr>
        <w:rFonts w:ascii="Tahoma" w:hAnsi="Tahoma" w:cs="Tahoma"/>
        <w:noProof/>
        <w:sz w:val="24"/>
        <w:szCs w:val="24"/>
      </w:rPr>
      <w:t>1</w:t>
    </w:r>
    <w:r w:rsidR="00D40FC6"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213715">
      <w:rPr>
        <w:rFonts w:ascii="Tahoma" w:hAnsi="Tahoma" w:cs="Tahoma"/>
        <w:sz w:val="24"/>
        <w:szCs w:val="24"/>
        <w:lang w:val="en-US"/>
      </w:rPr>
      <w:t>6</w:t>
    </w:r>
  </w:p>
  <w:p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909" w:rsidRDefault="00825909" w:rsidP="004E1021">
      <w:pPr>
        <w:spacing w:after="0" w:line="240" w:lineRule="auto"/>
      </w:pPr>
      <w:r>
        <w:separator/>
      </w:r>
    </w:p>
  </w:footnote>
  <w:footnote w:type="continuationSeparator" w:id="0">
    <w:p w:rsidR="00825909" w:rsidRDefault="00825909"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6"/>
      <w:gridCol w:w="293"/>
      <w:gridCol w:w="1054"/>
      <w:gridCol w:w="282"/>
      <w:gridCol w:w="2364"/>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5C6702" w:rsidRDefault="00136BD6" w:rsidP="00C2439D">
          <w:pPr>
            <w:pStyle w:val="BodyText"/>
            <w:spacing w:after="0"/>
            <w:rPr>
              <w:rFonts w:ascii="Tahoma" w:hAnsi="Tahoma" w:cs="Tahoma"/>
              <w:bCs/>
              <w:color w:val="000000"/>
              <w:sz w:val="18"/>
              <w:szCs w:val="18"/>
              <w:lang w:val="id-ID"/>
            </w:rPr>
          </w:pPr>
          <w:r>
            <w:rPr>
              <w:rFonts w:ascii="Tahoma" w:hAnsi="Tahoma" w:cs="Tahoma"/>
              <w:bCs/>
              <w:color w:val="000000"/>
              <w:sz w:val="18"/>
              <w:szCs w:val="18"/>
              <w:lang w:val="id-ID"/>
            </w:rPr>
            <w:t>43 TAHUN 2016</w:t>
          </w:r>
        </w:p>
      </w:tc>
    </w:tr>
    <w:tr w:rsidR="00AA68E0" w:rsidRPr="00AA68E0" w:rsidTr="00136BD6">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rsidR="00AA68E0" w:rsidRPr="00136BD6" w:rsidRDefault="00136BD6" w:rsidP="00C2439D">
          <w:pPr>
            <w:spacing w:after="0" w:line="240" w:lineRule="auto"/>
            <w:rPr>
              <w:rFonts w:ascii="Tahoma" w:hAnsi="Tahoma" w:cs="Tahoma"/>
              <w:b/>
              <w:bCs/>
              <w:color w:val="000000"/>
              <w:sz w:val="18"/>
              <w:szCs w:val="18"/>
              <w:lang w:val="en-US"/>
            </w:rPr>
          </w:pPr>
          <w:r>
            <w:rPr>
              <w:rFonts w:ascii="Tahoma" w:hAnsi="Tahoma" w:cs="Tahoma"/>
              <w:color w:val="000000"/>
              <w:sz w:val="18"/>
              <w:szCs w:val="18"/>
              <w:lang w:val="en-US"/>
            </w:rPr>
            <w:t>TENTANG</w:t>
          </w:r>
        </w:p>
      </w:tc>
      <w:tc>
        <w:tcPr>
          <w:tcW w:w="262" w:type="pct"/>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136BD6" w:rsidRDefault="00136BD6" w:rsidP="00136BD6">
          <w:pPr>
            <w:pStyle w:val="BodyText"/>
            <w:spacing w:after="0"/>
            <w:jc w:val="both"/>
            <w:rPr>
              <w:rFonts w:ascii="Tahoma" w:hAnsi="Tahoma" w:cs="Tahoma"/>
              <w:bCs/>
              <w:color w:val="000000"/>
              <w:sz w:val="18"/>
              <w:szCs w:val="18"/>
            </w:rPr>
          </w:pPr>
          <w:r>
            <w:rPr>
              <w:rFonts w:ascii="Tahoma" w:hAnsi="Tahoma" w:cs="Tahoma"/>
              <w:bCs/>
              <w:color w:val="000000"/>
              <w:sz w:val="18"/>
              <w:szCs w:val="18"/>
            </w:rPr>
            <w:t>PERUBAHAN PERATURAN WALIKOTA DUMAI NOMOR 26 TAHUN 2016</w:t>
          </w:r>
        </w:p>
      </w:tc>
    </w:tr>
  </w:tbl>
  <w:p w:rsidR="0048233A" w:rsidRPr="00AA68E0" w:rsidRDefault="00400EAD"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CF02BC"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AF801A6"/>
    <w:multiLevelType w:val="hybridMultilevel"/>
    <w:tmpl w:val="4F28389C"/>
    <w:lvl w:ilvl="0" w:tplc="77C674CC">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5"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5A50D5"/>
    <w:multiLevelType w:val="hybridMultilevel"/>
    <w:tmpl w:val="9864D3D2"/>
    <w:lvl w:ilvl="0" w:tplc="16F2B73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2"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8"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83E11ED"/>
    <w:multiLevelType w:val="hybridMultilevel"/>
    <w:tmpl w:val="15281CBC"/>
    <w:lvl w:ilvl="0" w:tplc="DC3C84AA">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20"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1"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2" w15:restartNumberingAfterBreak="0">
    <w:nsid w:val="662B4FA7"/>
    <w:multiLevelType w:val="hybridMultilevel"/>
    <w:tmpl w:val="87A43BB4"/>
    <w:lvl w:ilvl="0" w:tplc="04090019">
      <w:start w:val="1"/>
      <w:numFmt w:val="lowerLetter"/>
      <w:lvlText w:val="%1."/>
      <w:lvlJc w:val="left"/>
      <w:pPr>
        <w:ind w:left="1734" w:hanging="360"/>
      </w:pPr>
    </w:lvl>
    <w:lvl w:ilvl="1" w:tplc="04090019" w:tentative="1">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23"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4"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5"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26" w15:restartNumberingAfterBreak="0">
    <w:nsid w:val="7FF64CB5"/>
    <w:multiLevelType w:val="hybridMultilevel"/>
    <w:tmpl w:val="426E08E4"/>
    <w:lvl w:ilvl="0" w:tplc="7F74E792">
      <w:start w:val="1"/>
      <w:numFmt w:val="decimal"/>
      <w:lvlText w:val="%1."/>
      <w:lvlJc w:val="left"/>
      <w:pPr>
        <w:tabs>
          <w:tab w:val="num" w:pos="1145"/>
        </w:tabs>
        <w:ind w:left="1145" w:hanging="360"/>
      </w:pPr>
      <w:rPr>
        <w:rFonts w:hint="default"/>
        <w:b w:val="0"/>
        <w:i w:val="0"/>
      </w:rPr>
    </w:lvl>
    <w:lvl w:ilvl="1" w:tplc="04090017">
      <w:start w:val="1"/>
      <w:numFmt w:val="lowerLetter"/>
      <w:lvlText w:val="%2)"/>
      <w:lvlJc w:val="left"/>
      <w:pPr>
        <w:tabs>
          <w:tab w:val="num" w:pos="1865"/>
        </w:tabs>
        <w:ind w:left="1865" w:hanging="360"/>
      </w:pPr>
      <w:rPr>
        <w:rFonts w:hint="default"/>
        <w:b w:val="0"/>
        <w:i w:val="0"/>
      </w:rPr>
    </w:lvl>
    <w:lvl w:ilvl="2" w:tplc="D78E1906">
      <w:start w:val="1"/>
      <w:numFmt w:val="bullet"/>
      <w:lvlText w:val="-"/>
      <w:lvlJc w:val="left"/>
      <w:pPr>
        <w:tabs>
          <w:tab w:val="num" w:pos="2765"/>
        </w:tabs>
        <w:ind w:left="2765" w:hanging="360"/>
      </w:pPr>
      <w:rPr>
        <w:rFonts w:ascii="Tahoma" w:eastAsia="Times New Roman" w:hAnsi="Tahoma" w:cs="Tahoma" w:hint="default"/>
      </w:r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num w:numId="1">
    <w:abstractNumId w:val="8"/>
  </w:num>
  <w:num w:numId="2">
    <w:abstractNumId w:val="13"/>
  </w:num>
  <w:num w:numId="3">
    <w:abstractNumId w:val="20"/>
  </w:num>
  <w:num w:numId="4">
    <w:abstractNumId w:val="9"/>
  </w:num>
  <w:num w:numId="5">
    <w:abstractNumId w:val="4"/>
  </w:num>
  <w:num w:numId="6">
    <w:abstractNumId w:val="0"/>
  </w:num>
  <w:num w:numId="7">
    <w:abstractNumId w:val="12"/>
  </w:num>
  <w:num w:numId="8">
    <w:abstractNumId w:val="18"/>
  </w:num>
  <w:num w:numId="9">
    <w:abstractNumId w:val="1"/>
  </w:num>
  <w:num w:numId="10">
    <w:abstractNumId w:val="16"/>
  </w:num>
  <w:num w:numId="11">
    <w:abstractNumId w:val="3"/>
  </w:num>
  <w:num w:numId="12">
    <w:abstractNumId w:val="10"/>
  </w:num>
  <w:num w:numId="13">
    <w:abstractNumId w:val="24"/>
  </w:num>
  <w:num w:numId="14">
    <w:abstractNumId w:val="23"/>
  </w:num>
  <w:num w:numId="15">
    <w:abstractNumId w:val="15"/>
  </w:num>
  <w:num w:numId="16">
    <w:abstractNumId w:val="17"/>
  </w:num>
  <w:num w:numId="17">
    <w:abstractNumId w:val="11"/>
  </w:num>
  <w:num w:numId="18">
    <w:abstractNumId w:val="14"/>
  </w:num>
  <w:num w:numId="19">
    <w:abstractNumId w:val="25"/>
  </w:num>
  <w:num w:numId="20">
    <w:abstractNumId w:val="21"/>
  </w:num>
  <w:num w:numId="21">
    <w:abstractNumId w:val="5"/>
  </w:num>
  <w:num w:numId="22">
    <w:abstractNumId w:val="6"/>
  </w:num>
  <w:num w:numId="23">
    <w:abstractNumId w:val="19"/>
  </w:num>
  <w:num w:numId="24">
    <w:abstractNumId w:val="2"/>
  </w:num>
  <w:num w:numId="25">
    <w:abstractNumId w:val="7"/>
  </w:num>
  <w:num w:numId="26">
    <w:abstractNumId w:val="22"/>
  </w:num>
  <w:num w:numId="2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41F0C"/>
    <w:rsid w:val="00052C12"/>
    <w:rsid w:val="000535A4"/>
    <w:rsid w:val="000546FF"/>
    <w:rsid w:val="00071EC2"/>
    <w:rsid w:val="0009190E"/>
    <w:rsid w:val="00094E5C"/>
    <w:rsid w:val="000B6A30"/>
    <w:rsid w:val="000B6C65"/>
    <w:rsid w:val="000F77A9"/>
    <w:rsid w:val="001127A4"/>
    <w:rsid w:val="00112B3E"/>
    <w:rsid w:val="00136BD6"/>
    <w:rsid w:val="001430A5"/>
    <w:rsid w:val="00147B30"/>
    <w:rsid w:val="00151B49"/>
    <w:rsid w:val="001520F3"/>
    <w:rsid w:val="001634B4"/>
    <w:rsid w:val="00167EF8"/>
    <w:rsid w:val="00167FF0"/>
    <w:rsid w:val="00170F01"/>
    <w:rsid w:val="00184C61"/>
    <w:rsid w:val="001A3C34"/>
    <w:rsid w:val="001B098C"/>
    <w:rsid w:val="001C6349"/>
    <w:rsid w:val="001C7604"/>
    <w:rsid w:val="001D459C"/>
    <w:rsid w:val="001D5526"/>
    <w:rsid w:val="001E3B7E"/>
    <w:rsid w:val="001E73C4"/>
    <w:rsid w:val="00212744"/>
    <w:rsid w:val="00213715"/>
    <w:rsid w:val="0022306C"/>
    <w:rsid w:val="00243B3A"/>
    <w:rsid w:val="00246038"/>
    <w:rsid w:val="002705A7"/>
    <w:rsid w:val="00285786"/>
    <w:rsid w:val="002A507E"/>
    <w:rsid w:val="002B5789"/>
    <w:rsid w:val="002C4C70"/>
    <w:rsid w:val="002D7AA8"/>
    <w:rsid w:val="002E1A6F"/>
    <w:rsid w:val="00300C48"/>
    <w:rsid w:val="003045B3"/>
    <w:rsid w:val="003271EA"/>
    <w:rsid w:val="00335572"/>
    <w:rsid w:val="00346BA1"/>
    <w:rsid w:val="00356F9A"/>
    <w:rsid w:val="0037193F"/>
    <w:rsid w:val="003721BE"/>
    <w:rsid w:val="00382EDF"/>
    <w:rsid w:val="003844DA"/>
    <w:rsid w:val="0038561B"/>
    <w:rsid w:val="0038602C"/>
    <w:rsid w:val="003903E4"/>
    <w:rsid w:val="003B375F"/>
    <w:rsid w:val="003D5D75"/>
    <w:rsid w:val="003E5BDC"/>
    <w:rsid w:val="003F3AF4"/>
    <w:rsid w:val="00400EAD"/>
    <w:rsid w:val="004036E0"/>
    <w:rsid w:val="00405ED0"/>
    <w:rsid w:val="00410239"/>
    <w:rsid w:val="00412359"/>
    <w:rsid w:val="004211A9"/>
    <w:rsid w:val="004346CA"/>
    <w:rsid w:val="004417FD"/>
    <w:rsid w:val="00444270"/>
    <w:rsid w:val="0048233A"/>
    <w:rsid w:val="004A53AD"/>
    <w:rsid w:val="004B38E3"/>
    <w:rsid w:val="004C0216"/>
    <w:rsid w:val="004C5787"/>
    <w:rsid w:val="004E1021"/>
    <w:rsid w:val="004E1F26"/>
    <w:rsid w:val="004F0251"/>
    <w:rsid w:val="004F035B"/>
    <w:rsid w:val="004F245C"/>
    <w:rsid w:val="00505491"/>
    <w:rsid w:val="005073F4"/>
    <w:rsid w:val="00513886"/>
    <w:rsid w:val="0053288E"/>
    <w:rsid w:val="00532F92"/>
    <w:rsid w:val="0053766C"/>
    <w:rsid w:val="00541AE5"/>
    <w:rsid w:val="005466B0"/>
    <w:rsid w:val="0055415C"/>
    <w:rsid w:val="00575604"/>
    <w:rsid w:val="0059477A"/>
    <w:rsid w:val="0059521A"/>
    <w:rsid w:val="0059734F"/>
    <w:rsid w:val="00597B27"/>
    <w:rsid w:val="005A3172"/>
    <w:rsid w:val="005B3C7B"/>
    <w:rsid w:val="005B5577"/>
    <w:rsid w:val="005B6AA3"/>
    <w:rsid w:val="005B6F6E"/>
    <w:rsid w:val="005C6702"/>
    <w:rsid w:val="005C750F"/>
    <w:rsid w:val="005D52B2"/>
    <w:rsid w:val="005E7B8B"/>
    <w:rsid w:val="006119D8"/>
    <w:rsid w:val="00624577"/>
    <w:rsid w:val="00626331"/>
    <w:rsid w:val="0064752D"/>
    <w:rsid w:val="00647CCC"/>
    <w:rsid w:val="00662F18"/>
    <w:rsid w:val="00676A6C"/>
    <w:rsid w:val="00686883"/>
    <w:rsid w:val="00686AC2"/>
    <w:rsid w:val="006A3B13"/>
    <w:rsid w:val="006A3D2F"/>
    <w:rsid w:val="006A454E"/>
    <w:rsid w:val="006C3EB6"/>
    <w:rsid w:val="00736E21"/>
    <w:rsid w:val="00756072"/>
    <w:rsid w:val="00770C3E"/>
    <w:rsid w:val="00793B3B"/>
    <w:rsid w:val="007A26AF"/>
    <w:rsid w:val="007B6A7F"/>
    <w:rsid w:val="007D7E66"/>
    <w:rsid w:val="007E5497"/>
    <w:rsid w:val="007E5B5A"/>
    <w:rsid w:val="007F01FC"/>
    <w:rsid w:val="00825909"/>
    <w:rsid w:val="008421E9"/>
    <w:rsid w:val="0084295B"/>
    <w:rsid w:val="0084524D"/>
    <w:rsid w:val="008454AF"/>
    <w:rsid w:val="008545D6"/>
    <w:rsid w:val="008D16E6"/>
    <w:rsid w:val="008D425C"/>
    <w:rsid w:val="00905020"/>
    <w:rsid w:val="00912C08"/>
    <w:rsid w:val="00916D56"/>
    <w:rsid w:val="00932E8A"/>
    <w:rsid w:val="00942777"/>
    <w:rsid w:val="00945219"/>
    <w:rsid w:val="00955657"/>
    <w:rsid w:val="009669EB"/>
    <w:rsid w:val="00976787"/>
    <w:rsid w:val="00977FBD"/>
    <w:rsid w:val="00996FA1"/>
    <w:rsid w:val="009A544E"/>
    <w:rsid w:val="009C31D6"/>
    <w:rsid w:val="009C4565"/>
    <w:rsid w:val="009C46F0"/>
    <w:rsid w:val="009C7CB0"/>
    <w:rsid w:val="009D68DD"/>
    <w:rsid w:val="009E2799"/>
    <w:rsid w:val="009E7C57"/>
    <w:rsid w:val="009F339B"/>
    <w:rsid w:val="009F3ED3"/>
    <w:rsid w:val="00A03802"/>
    <w:rsid w:val="00A04A03"/>
    <w:rsid w:val="00A05866"/>
    <w:rsid w:val="00A112C2"/>
    <w:rsid w:val="00A32543"/>
    <w:rsid w:val="00A40294"/>
    <w:rsid w:val="00A440C6"/>
    <w:rsid w:val="00A5024A"/>
    <w:rsid w:val="00A5441A"/>
    <w:rsid w:val="00A54EAA"/>
    <w:rsid w:val="00A61599"/>
    <w:rsid w:val="00A70767"/>
    <w:rsid w:val="00A91EA6"/>
    <w:rsid w:val="00AA68E0"/>
    <w:rsid w:val="00AD7DA7"/>
    <w:rsid w:val="00AE44C8"/>
    <w:rsid w:val="00AE7137"/>
    <w:rsid w:val="00AF1B03"/>
    <w:rsid w:val="00AF327B"/>
    <w:rsid w:val="00B02162"/>
    <w:rsid w:val="00B02A7B"/>
    <w:rsid w:val="00B04DC0"/>
    <w:rsid w:val="00B05E27"/>
    <w:rsid w:val="00B10845"/>
    <w:rsid w:val="00B14E86"/>
    <w:rsid w:val="00B20830"/>
    <w:rsid w:val="00B20BCB"/>
    <w:rsid w:val="00B32146"/>
    <w:rsid w:val="00B40126"/>
    <w:rsid w:val="00B55FAA"/>
    <w:rsid w:val="00B723CB"/>
    <w:rsid w:val="00B867EE"/>
    <w:rsid w:val="00BA237D"/>
    <w:rsid w:val="00BA5B49"/>
    <w:rsid w:val="00BB0E77"/>
    <w:rsid w:val="00BC3DF5"/>
    <w:rsid w:val="00BF0530"/>
    <w:rsid w:val="00C02FDF"/>
    <w:rsid w:val="00C12637"/>
    <w:rsid w:val="00C2192C"/>
    <w:rsid w:val="00C365EC"/>
    <w:rsid w:val="00C55AF4"/>
    <w:rsid w:val="00C62E11"/>
    <w:rsid w:val="00C73FB9"/>
    <w:rsid w:val="00C92809"/>
    <w:rsid w:val="00C93FD0"/>
    <w:rsid w:val="00C9507A"/>
    <w:rsid w:val="00CB4227"/>
    <w:rsid w:val="00CC4FA4"/>
    <w:rsid w:val="00CF2739"/>
    <w:rsid w:val="00D03B93"/>
    <w:rsid w:val="00D15B62"/>
    <w:rsid w:val="00D16662"/>
    <w:rsid w:val="00D17814"/>
    <w:rsid w:val="00D317D0"/>
    <w:rsid w:val="00D40FC6"/>
    <w:rsid w:val="00D427FB"/>
    <w:rsid w:val="00D44DEA"/>
    <w:rsid w:val="00D45C4B"/>
    <w:rsid w:val="00D51D8A"/>
    <w:rsid w:val="00D6750B"/>
    <w:rsid w:val="00D8218B"/>
    <w:rsid w:val="00D83D2E"/>
    <w:rsid w:val="00D84C7B"/>
    <w:rsid w:val="00D868EB"/>
    <w:rsid w:val="00D86E1B"/>
    <w:rsid w:val="00D958C3"/>
    <w:rsid w:val="00DC2945"/>
    <w:rsid w:val="00DD062F"/>
    <w:rsid w:val="00DD5F6F"/>
    <w:rsid w:val="00DE3EF4"/>
    <w:rsid w:val="00DE50C4"/>
    <w:rsid w:val="00E049D2"/>
    <w:rsid w:val="00E14631"/>
    <w:rsid w:val="00E502C7"/>
    <w:rsid w:val="00E5192C"/>
    <w:rsid w:val="00E6160E"/>
    <w:rsid w:val="00E75418"/>
    <w:rsid w:val="00EC3418"/>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65E01"/>
    <w:rsid w:val="00F711CF"/>
    <w:rsid w:val="00F71595"/>
    <w:rsid w:val="00F74C89"/>
    <w:rsid w:val="00F8222A"/>
    <w:rsid w:val="00F8312B"/>
    <w:rsid w:val="00F83BAD"/>
    <w:rsid w:val="00F9055F"/>
    <w:rsid w:val="00F96706"/>
    <w:rsid w:val="00FC5AE6"/>
    <w:rsid w:val="00FD28E1"/>
    <w:rsid w:val="00FE7F32"/>
    <w:rsid w:val="00FF7FD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AB08F2"/>
  <w15:docId w15:val="{269A60A0-611D-43F2-95BB-993DD70D1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A20C4-49EC-4AD1-9A83-C1B1C4D16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4</cp:revision>
  <cp:lastPrinted>2015-02-05T08:59:00Z</cp:lastPrinted>
  <dcterms:created xsi:type="dcterms:W3CDTF">2020-08-03T06:54:00Z</dcterms:created>
  <dcterms:modified xsi:type="dcterms:W3CDTF">2020-08-05T05:37:00Z</dcterms:modified>
</cp:coreProperties>
</file>