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BF78D" w14:textId="77777777" w:rsidR="00E7401A" w:rsidRPr="00E10938" w:rsidRDefault="00E7401A" w:rsidP="00F464F1">
      <w:pPr>
        <w:pStyle w:val="Default"/>
        <w:spacing w:before="120" w:line="480" w:lineRule="auto"/>
        <w:jc w:val="center"/>
        <w:rPr>
          <w:sz w:val="28"/>
          <w:szCs w:val="28"/>
          <w:lang w:val="en-US"/>
        </w:rPr>
      </w:pPr>
      <w:bookmarkStart w:id="0" w:name="_GoBack"/>
      <w:bookmarkEnd w:id="0"/>
      <w:r w:rsidRPr="00E10938">
        <w:rPr>
          <w:b/>
          <w:bCs/>
          <w:sz w:val="28"/>
          <w:szCs w:val="28"/>
        </w:rPr>
        <w:t xml:space="preserve">KEBIJAKAN AKUNTANSI NO. </w:t>
      </w:r>
      <w:r w:rsidRPr="00E10938">
        <w:rPr>
          <w:b/>
          <w:bCs/>
          <w:sz w:val="28"/>
          <w:szCs w:val="28"/>
          <w:lang w:val="en-US"/>
        </w:rPr>
        <w:t>20</w:t>
      </w:r>
    </w:p>
    <w:p w14:paraId="1CD4A535" w14:textId="77777777" w:rsidR="00E7401A" w:rsidRPr="00E10938" w:rsidRDefault="006D2218" w:rsidP="00F464F1">
      <w:pPr>
        <w:spacing w:after="0" w:line="480" w:lineRule="auto"/>
        <w:jc w:val="center"/>
        <w:rPr>
          <w:b/>
          <w:sz w:val="28"/>
          <w:szCs w:val="28"/>
        </w:rPr>
      </w:pPr>
      <w:r w:rsidRPr="00E10938">
        <w:rPr>
          <w:rFonts w:ascii="Tahoma" w:hAnsi="Tahoma" w:cs="Tahoma"/>
          <w:b/>
          <w:bCs/>
          <w:sz w:val="28"/>
          <w:szCs w:val="28"/>
          <w:lang w:val="en-US"/>
        </w:rPr>
        <w:t xml:space="preserve">AKUNTANSI </w:t>
      </w:r>
      <w:r w:rsidR="00E7401A" w:rsidRPr="00E10938">
        <w:rPr>
          <w:rFonts w:ascii="Tahoma" w:hAnsi="Tahoma" w:cs="Tahoma"/>
          <w:b/>
          <w:bCs/>
          <w:sz w:val="28"/>
          <w:szCs w:val="28"/>
          <w:lang w:val="en-US"/>
        </w:rPr>
        <w:t>ASET LAINNYA</w:t>
      </w:r>
    </w:p>
    <w:p w14:paraId="24D29296" w14:textId="77777777" w:rsidR="00E7401A" w:rsidRPr="00E10938" w:rsidRDefault="00E7401A" w:rsidP="00F464F1">
      <w:pPr>
        <w:pStyle w:val="Heading2"/>
        <w:spacing w:after="0" w:line="240" w:lineRule="auto"/>
        <w:rPr>
          <w:rFonts w:ascii="Tahoma" w:hAnsi="Tahoma" w:cs="Tahoma"/>
          <w:sz w:val="28"/>
          <w:szCs w:val="28"/>
          <w:lang w:val="en-US"/>
        </w:rPr>
      </w:pPr>
      <w:bookmarkStart w:id="1" w:name="_Toc391856019"/>
      <w:bookmarkEnd w:id="1"/>
    </w:p>
    <w:p w14:paraId="3D4E3E0A" w14:textId="77777777" w:rsidR="00E7401A" w:rsidRPr="00E10938" w:rsidRDefault="00E7401A" w:rsidP="00B22338">
      <w:pPr>
        <w:pStyle w:val="ListParagraph"/>
        <w:widowControl w:val="0"/>
        <w:numPr>
          <w:ilvl w:val="0"/>
          <w:numId w:val="1"/>
        </w:numPr>
        <w:tabs>
          <w:tab w:val="clear" w:pos="4609"/>
        </w:tabs>
        <w:autoSpaceDE w:val="0"/>
        <w:autoSpaceDN w:val="0"/>
        <w:adjustRightInd w:val="0"/>
        <w:spacing w:after="0" w:line="360" w:lineRule="auto"/>
        <w:ind w:left="360" w:hanging="379"/>
        <w:jc w:val="both"/>
        <w:rPr>
          <w:rFonts w:ascii="Arial" w:hAnsi="Arial" w:cs="Arial"/>
          <w:b/>
          <w:sz w:val="24"/>
          <w:szCs w:val="24"/>
        </w:rPr>
      </w:pPr>
      <w:r w:rsidRPr="00E10938">
        <w:rPr>
          <w:rFonts w:ascii="Arial" w:hAnsi="Arial" w:cs="Arial"/>
          <w:b/>
          <w:sz w:val="24"/>
          <w:szCs w:val="24"/>
        </w:rPr>
        <w:t>UMUM</w:t>
      </w:r>
    </w:p>
    <w:p w14:paraId="35E017BD" w14:textId="77777777" w:rsidR="00E7401A" w:rsidRPr="00E10938" w:rsidRDefault="00E7401A" w:rsidP="00B22338">
      <w:pPr>
        <w:pStyle w:val="ListParagraph"/>
        <w:widowControl w:val="0"/>
        <w:autoSpaceDE w:val="0"/>
        <w:autoSpaceDN w:val="0"/>
        <w:adjustRightInd w:val="0"/>
        <w:spacing w:before="120" w:after="0" w:line="360" w:lineRule="auto"/>
        <w:ind w:left="360"/>
        <w:contextualSpacing w:val="0"/>
        <w:jc w:val="both"/>
        <w:rPr>
          <w:rFonts w:ascii="Arial" w:hAnsi="Arial" w:cs="Arial"/>
          <w:b/>
          <w:spacing w:val="-1"/>
          <w:sz w:val="24"/>
          <w:szCs w:val="24"/>
        </w:rPr>
      </w:pPr>
      <w:r w:rsidRPr="00E10938">
        <w:rPr>
          <w:rFonts w:ascii="Arial" w:hAnsi="Arial" w:cs="Arial"/>
          <w:b/>
          <w:spacing w:val="-1"/>
          <w:sz w:val="24"/>
          <w:szCs w:val="24"/>
          <w:lang w:val="en-US"/>
        </w:rPr>
        <w:t>Tujuan</w:t>
      </w:r>
    </w:p>
    <w:p w14:paraId="70FB7404" w14:textId="77777777" w:rsidR="00E7401A" w:rsidRPr="00E10938" w:rsidRDefault="00E7401A" w:rsidP="00B22338">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b/>
          <w:spacing w:val="-1"/>
          <w:sz w:val="24"/>
          <w:szCs w:val="24"/>
        </w:rPr>
      </w:pPr>
      <w:r w:rsidRPr="00E10938">
        <w:rPr>
          <w:rFonts w:ascii="Arial" w:hAnsi="Arial" w:cs="Arial"/>
          <w:sz w:val="24"/>
          <w:szCs w:val="24"/>
          <w:lang w:val="fi-FI"/>
        </w:rPr>
        <w:t>Tujuan kebijakan ini adalah mengatur perlakuan akuntansi atas aset lainnya yang mencakup pengakuan, pengukuran dan penilaian, serta pengungkapannya dalam laporan keuangan pemerintah daerah.</w:t>
      </w:r>
    </w:p>
    <w:p w14:paraId="5757E4F3" w14:textId="77777777" w:rsidR="00E7401A" w:rsidRPr="00E10938" w:rsidRDefault="00E7401A" w:rsidP="00F464F1">
      <w:pPr>
        <w:pStyle w:val="ListParagraph"/>
        <w:widowControl w:val="0"/>
        <w:autoSpaceDE w:val="0"/>
        <w:autoSpaceDN w:val="0"/>
        <w:adjustRightInd w:val="0"/>
        <w:spacing w:before="120" w:after="0" w:line="480" w:lineRule="auto"/>
        <w:ind w:left="360"/>
        <w:contextualSpacing w:val="0"/>
        <w:jc w:val="both"/>
        <w:rPr>
          <w:rFonts w:ascii="Arial" w:hAnsi="Arial" w:cs="Arial"/>
          <w:b/>
          <w:spacing w:val="-1"/>
          <w:sz w:val="24"/>
          <w:szCs w:val="24"/>
          <w:lang w:val="en-US"/>
        </w:rPr>
      </w:pPr>
      <w:r w:rsidRPr="00E10938">
        <w:rPr>
          <w:rFonts w:ascii="Arial" w:hAnsi="Arial" w:cs="Arial"/>
          <w:b/>
          <w:spacing w:val="-1"/>
          <w:sz w:val="24"/>
          <w:szCs w:val="24"/>
          <w:lang w:val="en-US"/>
        </w:rPr>
        <w:t>Ruang Lingkup</w:t>
      </w:r>
    </w:p>
    <w:p w14:paraId="61F72C32"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Kebijakan ini diterapkan pada akuntansi aset lainnya dalam rangka penyusunan laporan neraca.</w:t>
      </w:r>
    </w:p>
    <w:p w14:paraId="626765E9"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Pernyataan kebijakan ini berlaku untuk entitas akuntansi/pelaporan yang memperoleh anggaran berdasarkan APBD, tidak termasuk perusahaan daerah.</w:t>
      </w:r>
    </w:p>
    <w:p w14:paraId="07761A88" w14:textId="77777777" w:rsidR="00E7401A" w:rsidRPr="00E10938" w:rsidRDefault="00E7401A" w:rsidP="00F464F1">
      <w:pPr>
        <w:pStyle w:val="ListParagraph"/>
        <w:widowControl w:val="0"/>
        <w:autoSpaceDE w:val="0"/>
        <w:autoSpaceDN w:val="0"/>
        <w:adjustRightInd w:val="0"/>
        <w:spacing w:before="120" w:after="0" w:line="480" w:lineRule="auto"/>
        <w:ind w:left="360"/>
        <w:contextualSpacing w:val="0"/>
        <w:jc w:val="both"/>
        <w:rPr>
          <w:rFonts w:ascii="Arial" w:hAnsi="Arial" w:cs="Arial"/>
          <w:b/>
          <w:spacing w:val="-1"/>
          <w:sz w:val="24"/>
          <w:szCs w:val="24"/>
          <w:lang w:val="en-US"/>
        </w:rPr>
      </w:pPr>
      <w:r w:rsidRPr="00E10938">
        <w:rPr>
          <w:rFonts w:ascii="Arial" w:hAnsi="Arial" w:cs="Arial"/>
          <w:b/>
          <w:spacing w:val="-1"/>
          <w:sz w:val="24"/>
          <w:szCs w:val="24"/>
          <w:lang w:val="en-US"/>
        </w:rPr>
        <w:t>Definisi</w:t>
      </w:r>
    </w:p>
    <w:p w14:paraId="58E48814"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Aset Lainnya merupakan aset pemerintah daerah yang tidak dapat diklasifikasikan sebagai aset lancar, investasi jangka panjang, aset tetap dan dana cadangan.</w:t>
      </w:r>
    </w:p>
    <w:p w14:paraId="52455BB4"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Termasuk di dalam Aset Lainnya adalah :</w:t>
      </w:r>
    </w:p>
    <w:p w14:paraId="49DBEC92" w14:textId="77777777" w:rsidR="00E7401A" w:rsidRPr="00E10938" w:rsidRDefault="00E7401A" w:rsidP="00F464F1">
      <w:pPr>
        <w:numPr>
          <w:ilvl w:val="0"/>
          <w:numId w:val="4"/>
        </w:numPr>
        <w:tabs>
          <w:tab w:val="clear" w:pos="1800"/>
        </w:tabs>
        <w:spacing w:after="0" w:line="480" w:lineRule="auto"/>
        <w:ind w:left="1260"/>
        <w:jc w:val="both"/>
        <w:rPr>
          <w:rFonts w:ascii="Arial" w:hAnsi="Arial" w:cs="Arial"/>
          <w:sz w:val="24"/>
          <w:szCs w:val="24"/>
        </w:rPr>
      </w:pPr>
      <w:r w:rsidRPr="00E10938">
        <w:rPr>
          <w:rFonts w:ascii="Arial" w:hAnsi="Arial" w:cs="Arial"/>
          <w:sz w:val="24"/>
          <w:szCs w:val="24"/>
        </w:rPr>
        <w:t>Tagihan Piutang Penjualan Angsuran;</w:t>
      </w:r>
    </w:p>
    <w:p w14:paraId="150F7143" w14:textId="77777777" w:rsidR="00E7401A" w:rsidRPr="00E10938" w:rsidRDefault="00E7401A" w:rsidP="00F464F1">
      <w:pPr>
        <w:numPr>
          <w:ilvl w:val="0"/>
          <w:numId w:val="4"/>
        </w:numPr>
        <w:tabs>
          <w:tab w:val="clear" w:pos="1800"/>
        </w:tabs>
        <w:spacing w:after="0" w:line="480" w:lineRule="auto"/>
        <w:ind w:left="1260"/>
        <w:jc w:val="both"/>
        <w:rPr>
          <w:rFonts w:ascii="Arial" w:hAnsi="Arial" w:cs="Arial"/>
          <w:sz w:val="24"/>
          <w:szCs w:val="24"/>
        </w:rPr>
      </w:pPr>
      <w:r w:rsidRPr="00E10938">
        <w:rPr>
          <w:rFonts w:ascii="Arial" w:hAnsi="Arial" w:cs="Arial"/>
          <w:sz w:val="24"/>
          <w:szCs w:val="24"/>
        </w:rPr>
        <w:t>Tagiha</w:t>
      </w:r>
      <w:r w:rsidR="00E10938" w:rsidRPr="00E10938">
        <w:rPr>
          <w:rFonts w:ascii="Arial" w:hAnsi="Arial" w:cs="Arial"/>
          <w:sz w:val="24"/>
          <w:szCs w:val="24"/>
        </w:rPr>
        <w:t>n Tuntutan Ganti Rugi</w:t>
      </w:r>
      <w:r w:rsidRPr="00E10938">
        <w:rPr>
          <w:rFonts w:ascii="Arial" w:hAnsi="Arial" w:cs="Arial"/>
          <w:sz w:val="24"/>
          <w:szCs w:val="24"/>
        </w:rPr>
        <w:t>;</w:t>
      </w:r>
    </w:p>
    <w:p w14:paraId="0C78D11D" w14:textId="77777777" w:rsidR="00E7401A" w:rsidRPr="00E10938" w:rsidRDefault="00E7401A" w:rsidP="00F464F1">
      <w:pPr>
        <w:numPr>
          <w:ilvl w:val="0"/>
          <w:numId w:val="4"/>
        </w:numPr>
        <w:tabs>
          <w:tab w:val="clear" w:pos="1800"/>
        </w:tabs>
        <w:spacing w:after="0" w:line="480" w:lineRule="auto"/>
        <w:ind w:left="1260"/>
        <w:jc w:val="both"/>
        <w:rPr>
          <w:rFonts w:ascii="Arial" w:hAnsi="Arial" w:cs="Arial"/>
          <w:sz w:val="24"/>
          <w:szCs w:val="24"/>
        </w:rPr>
      </w:pPr>
      <w:r w:rsidRPr="00E10938">
        <w:rPr>
          <w:rFonts w:ascii="Arial" w:hAnsi="Arial" w:cs="Arial"/>
          <w:sz w:val="24"/>
          <w:szCs w:val="24"/>
        </w:rPr>
        <w:t>Kemitraan dengan Pihak Ketiga;</w:t>
      </w:r>
    </w:p>
    <w:p w14:paraId="11FAFABD" w14:textId="77777777" w:rsidR="00E7401A" w:rsidRPr="00E10938" w:rsidRDefault="00E7401A" w:rsidP="00F464F1">
      <w:pPr>
        <w:numPr>
          <w:ilvl w:val="0"/>
          <w:numId w:val="4"/>
        </w:numPr>
        <w:tabs>
          <w:tab w:val="clear" w:pos="1800"/>
        </w:tabs>
        <w:spacing w:after="0" w:line="480" w:lineRule="auto"/>
        <w:ind w:left="1260"/>
        <w:jc w:val="both"/>
        <w:rPr>
          <w:rFonts w:ascii="Arial" w:hAnsi="Arial" w:cs="Arial"/>
          <w:sz w:val="24"/>
          <w:szCs w:val="24"/>
        </w:rPr>
      </w:pPr>
      <w:r w:rsidRPr="00E10938">
        <w:rPr>
          <w:rFonts w:ascii="Arial" w:hAnsi="Arial" w:cs="Arial"/>
          <w:sz w:val="24"/>
          <w:szCs w:val="24"/>
        </w:rPr>
        <w:t>Aset Tidak Berwujud;</w:t>
      </w:r>
    </w:p>
    <w:p w14:paraId="6471D6C9" w14:textId="77777777" w:rsidR="00E7401A" w:rsidRPr="00E10938" w:rsidRDefault="00E7401A" w:rsidP="00F464F1">
      <w:pPr>
        <w:numPr>
          <w:ilvl w:val="0"/>
          <w:numId w:val="4"/>
        </w:numPr>
        <w:tabs>
          <w:tab w:val="clear" w:pos="1800"/>
        </w:tabs>
        <w:spacing w:after="0" w:line="480" w:lineRule="auto"/>
        <w:ind w:left="1260"/>
        <w:jc w:val="both"/>
        <w:rPr>
          <w:rFonts w:ascii="Arial" w:hAnsi="Arial" w:cs="Arial"/>
          <w:sz w:val="24"/>
          <w:szCs w:val="24"/>
        </w:rPr>
      </w:pPr>
      <w:r w:rsidRPr="00E10938">
        <w:rPr>
          <w:rFonts w:ascii="Arial" w:hAnsi="Arial" w:cs="Arial"/>
          <w:sz w:val="24"/>
          <w:szCs w:val="24"/>
        </w:rPr>
        <w:t>Aset Lain-lain.</w:t>
      </w:r>
    </w:p>
    <w:p w14:paraId="72C34EC7" w14:textId="77777777" w:rsidR="008F5904" w:rsidRDefault="008F5904">
      <w:pPr>
        <w:spacing w:after="0" w:line="240" w:lineRule="auto"/>
        <w:rPr>
          <w:rFonts w:ascii="Arial" w:hAnsi="Arial" w:cs="Arial"/>
          <w:sz w:val="24"/>
          <w:szCs w:val="24"/>
          <w:lang w:val="fi-FI"/>
        </w:rPr>
      </w:pPr>
      <w:r>
        <w:rPr>
          <w:rFonts w:ascii="Arial" w:hAnsi="Arial" w:cs="Arial"/>
          <w:sz w:val="24"/>
          <w:szCs w:val="24"/>
          <w:lang w:val="fi-FI"/>
        </w:rPr>
        <w:br w:type="page"/>
      </w:r>
    </w:p>
    <w:p w14:paraId="7E49CAB6" w14:textId="44B87091"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lastRenderedPageBreak/>
        <w:t>Tagihan penjualan angsuran menggambarkan jumlah yang dapat diterima dari penjualan aset pemerintah daerah secara angsuran kepada pegawai pemerintah daerah. Contoh tagihan penjualan angsuran antara lain adalah penjualan rumah dinas dan penjualan kendaraan dinas.</w:t>
      </w:r>
    </w:p>
    <w:p w14:paraId="6FF2A552"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Tuntutan Ganti Rugi (TGR) merupakan suatu proses yang dilakukan terhadap pegawai negeri bukan bendahara dengan tujuan untuk menuntut penggantian atas suatu kerugian yang diderita oleh Pem</w:t>
      </w:r>
      <w:r w:rsidR="00874A2B" w:rsidRPr="009B0EEA">
        <w:rPr>
          <w:rFonts w:ascii="Arial" w:hAnsi="Arial" w:cs="Arial"/>
          <w:sz w:val="24"/>
          <w:szCs w:val="24"/>
          <w:lang w:val="fi-FI"/>
        </w:rPr>
        <w:t xml:space="preserve">erintah Daerah </w:t>
      </w:r>
      <w:r w:rsidRPr="009B0EEA">
        <w:rPr>
          <w:rFonts w:ascii="Arial" w:hAnsi="Arial" w:cs="Arial"/>
          <w:sz w:val="24"/>
          <w:szCs w:val="24"/>
          <w:lang w:val="fi-FI"/>
        </w:rPr>
        <w:t>sebagai akibat langsung ataupun tidak langsung dari suatu perbuatan melanggar hukum yang dilakukan oleh pegawai tersebut atau kelalaian dalam pelaksanaan tugas kewajibannya.</w:t>
      </w:r>
    </w:p>
    <w:p w14:paraId="4ABD28B5"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Kemitraan adalah perjanjian antara dua pihak atau lebih yang mempunyai komitmen untuk melaksanakan kegiatan yang dikendalikan bersama dengan menggunakan aset dan/atau hak usaha yang dimiliki.</w:t>
      </w:r>
    </w:p>
    <w:p w14:paraId="55CF9393"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Bentuk kemitraan tersebut antara lain dapat berupa :</w:t>
      </w:r>
    </w:p>
    <w:p w14:paraId="175D56DB" w14:textId="77777777" w:rsidR="00E7401A" w:rsidRPr="009B0EEA" w:rsidRDefault="00E7401A" w:rsidP="00F464F1">
      <w:pPr>
        <w:numPr>
          <w:ilvl w:val="4"/>
          <w:numId w:val="6"/>
        </w:numPr>
        <w:tabs>
          <w:tab w:val="clear" w:pos="3600"/>
        </w:tabs>
        <w:spacing w:after="0" w:line="480" w:lineRule="auto"/>
        <w:ind w:left="1260"/>
        <w:jc w:val="both"/>
        <w:rPr>
          <w:rFonts w:ascii="Arial" w:hAnsi="Arial" w:cs="Arial"/>
          <w:sz w:val="24"/>
          <w:szCs w:val="24"/>
        </w:rPr>
      </w:pPr>
      <w:r w:rsidRPr="009B0EEA">
        <w:rPr>
          <w:rFonts w:ascii="Arial" w:hAnsi="Arial" w:cs="Arial"/>
          <w:sz w:val="24"/>
          <w:szCs w:val="24"/>
        </w:rPr>
        <w:t>Bangun, Kelola, Serah (BKS)</w:t>
      </w:r>
    </w:p>
    <w:p w14:paraId="72D9CAF9" w14:textId="77777777" w:rsidR="00E7401A" w:rsidRPr="009B0EEA" w:rsidRDefault="00E7401A" w:rsidP="00F464F1">
      <w:pPr>
        <w:numPr>
          <w:ilvl w:val="4"/>
          <w:numId w:val="6"/>
        </w:numPr>
        <w:tabs>
          <w:tab w:val="clear" w:pos="3600"/>
        </w:tabs>
        <w:spacing w:after="0" w:line="480" w:lineRule="auto"/>
        <w:ind w:left="1260"/>
        <w:jc w:val="both"/>
        <w:rPr>
          <w:rFonts w:ascii="Arial" w:hAnsi="Arial" w:cs="Arial"/>
          <w:sz w:val="24"/>
          <w:szCs w:val="24"/>
        </w:rPr>
      </w:pPr>
      <w:r w:rsidRPr="009B0EEA">
        <w:rPr>
          <w:rFonts w:ascii="Arial" w:hAnsi="Arial" w:cs="Arial"/>
          <w:sz w:val="24"/>
          <w:szCs w:val="24"/>
        </w:rPr>
        <w:t>Bangun, Serah, Kelola (BSK)</w:t>
      </w:r>
    </w:p>
    <w:p w14:paraId="284CB43C"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Bangun, Kelola, Serah (BKS) adalah suatu bentuk kerjasama berupa pemanfaatan aset pemerintah daerah oleh pihak ketiga/investor, dengan cara pihak ketiga/investor tersebut mendirikan bangunan dan/atau sarana lain berikut fasilitasnya serta mendayagunakannya dalam jangka waktu tertentu, untuk kemudian menyerahkannya kembali bangunan dan atau sarana lain berikut fasilitasnya kepada pemerintah daerah setelah berakhirnya jangka waktu yang disepakati (masa konsesi).</w:t>
      </w:r>
    </w:p>
    <w:p w14:paraId="21AB2C5A"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 xml:space="preserve">Pada akhir masa konsesi ini, penyerahan aset oleh pihak ketiga/investor kepada pemerintah daerah sebagai pemilik aset, biasanya tidak disertai dengan pembayaran oleh pemerintah daerah. Kalaupun disertai </w:t>
      </w:r>
      <w:r w:rsidRPr="009B0EEA">
        <w:rPr>
          <w:rFonts w:ascii="Arial" w:hAnsi="Arial" w:cs="Arial"/>
          <w:sz w:val="24"/>
          <w:szCs w:val="24"/>
          <w:lang w:val="fi-FI"/>
        </w:rPr>
        <w:lastRenderedPageBreak/>
        <w:t>pembayaran oleh pemerintah daerah, pembayaran tersebut dalam jumlah yang sangat rendah. Penyerahan dan pembayaran aset BKS ini harus diatur dalam perjanjian/kontrak kerjasama.</w:t>
      </w:r>
    </w:p>
    <w:p w14:paraId="3ED14845" w14:textId="77777777" w:rsidR="00E7401A"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9B0EEA">
        <w:rPr>
          <w:rFonts w:ascii="Arial" w:hAnsi="Arial" w:cs="Arial"/>
          <w:sz w:val="24"/>
          <w:szCs w:val="24"/>
          <w:lang w:val="fi-FI"/>
        </w:rPr>
        <w:t>Bangun, Serah, Kelola (BSK) adalah pemanfaatan aset pemerintah daerah oleh pihak ketiga/investor, dengan cara pihak ketiga/investor tersebut mendirikan bangunan dan/atau sarana lain berikut fasilitasnya kemudian menyerahkan aset yang dibangun tersebut kepada pemerintah daerah untuk dikelola sesuai dengan tujuan pembangunan aset tersebut.</w:t>
      </w:r>
    </w:p>
    <w:p w14:paraId="7DCE5528" w14:textId="77777777" w:rsidR="008E49E1" w:rsidRPr="009B0EE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 xml:space="preserve">Aset tidak berwujud adalah </w:t>
      </w:r>
      <w:r w:rsidR="008A4A06" w:rsidRPr="00E10938">
        <w:rPr>
          <w:rFonts w:ascii="Arial" w:hAnsi="Arial" w:cs="Arial"/>
          <w:bCs/>
          <w:iCs/>
          <w:sz w:val="24"/>
          <w:szCs w:val="24"/>
        </w:rPr>
        <w:t>aset non</w:t>
      </w:r>
      <w:r w:rsidR="00F67EE2" w:rsidRPr="00E10938">
        <w:rPr>
          <w:rFonts w:ascii="Arial" w:hAnsi="Arial" w:cs="Arial"/>
          <w:bCs/>
          <w:iCs/>
          <w:sz w:val="24"/>
          <w:szCs w:val="24"/>
          <w:lang w:val="en-US"/>
        </w:rPr>
        <w:t xml:space="preserve"> </w:t>
      </w:r>
      <w:r w:rsidR="008A4A06" w:rsidRPr="00E10938">
        <w:rPr>
          <w:rFonts w:ascii="Arial" w:hAnsi="Arial" w:cs="Arial"/>
          <w:bCs/>
          <w:iCs/>
          <w:sz w:val="24"/>
          <w:szCs w:val="24"/>
        </w:rPr>
        <w:t>keuangan yang dapat diidentifikasi</w:t>
      </w:r>
      <w:r w:rsidR="008A4A06" w:rsidRPr="00E10938">
        <w:rPr>
          <w:rFonts w:ascii="Arial" w:hAnsi="Arial" w:cs="Arial"/>
          <w:sz w:val="24"/>
          <w:szCs w:val="24"/>
        </w:rPr>
        <w:t xml:space="preserve"> </w:t>
      </w:r>
      <w:r w:rsidR="008A4A06" w:rsidRPr="00E10938">
        <w:rPr>
          <w:rFonts w:ascii="Arial" w:hAnsi="Arial" w:cs="Arial"/>
          <w:bCs/>
          <w:iCs/>
          <w:sz w:val="24"/>
          <w:szCs w:val="24"/>
        </w:rPr>
        <w:t>dan tidak mempunyai wujud fisik serta dimiliki untuk digunakan dalam</w:t>
      </w:r>
      <w:r w:rsidR="008A4A06" w:rsidRPr="00E10938">
        <w:rPr>
          <w:rFonts w:ascii="Arial" w:hAnsi="Arial" w:cs="Arial"/>
          <w:sz w:val="24"/>
          <w:szCs w:val="24"/>
        </w:rPr>
        <w:t xml:space="preserve"> </w:t>
      </w:r>
      <w:r w:rsidR="008A4A06" w:rsidRPr="00E10938">
        <w:rPr>
          <w:rFonts w:ascii="Arial" w:hAnsi="Arial" w:cs="Arial"/>
          <w:bCs/>
          <w:iCs/>
          <w:sz w:val="24"/>
          <w:szCs w:val="24"/>
        </w:rPr>
        <w:t xml:space="preserve">menghasilkan barang </w:t>
      </w:r>
      <w:r w:rsidR="008A4A06" w:rsidRPr="00F464F1">
        <w:rPr>
          <w:rFonts w:ascii="Arial" w:hAnsi="Arial" w:cs="Arial"/>
          <w:sz w:val="24"/>
          <w:szCs w:val="24"/>
          <w:lang w:val="fi-FI"/>
        </w:rPr>
        <w:t>atau</w:t>
      </w:r>
      <w:r w:rsidR="008A4A06" w:rsidRPr="00E10938">
        <w:rPr>
          <w:rFonts w:ascii="Arial" w:hAnsi="Arial" w:cs="Arial"/>
          <w:bCs/>
          <w:iCs/>
          <w:sz w:val="24"/>
          <w:szCs w:val="24"/>
        </w:rPr>
        <w:t xml:space="preserve"> jasa atau digunakan untuk tujuan lainnya termasuk</w:t>
      </w:r>
      <w:r w:rsidR="008A4A06" w:rsidRPr="00E10938">
        <w:rPr>
          <w:rFonts w:ascii="Arial" w:hAnsi="Arial" w:cs="Arial"/>
          <w:sz w:val="24"/>
          <w:szCs w:val="24"/>
        </w:rPr>
        <w:t xml:space="preserve"> </w:t>
      </w:r>
      <w:r w:rsidR="008A4A06" w:rsidRPr="00E10938">
        <w:rPr>
          <w:rFonts w:ascii="Arial" w:hAnsi="Arial" w:cs="Arial"/>
          <w:bCs/>
          <w:iCs/>
          <w:sz w:val="24"/>
          <w:szCs w:val="24"/>
        </w:rPr>
        <w:t>hak atas kekayaan intelektual.</w:t>
      </w:r>
    </w:p>
    <w:p w14:paraId="6FA5D46B" w14:textId="4C67BB59" w:rsidR="009B0EEA" w:rsidRPr="00F464F1" w:rsidRDefault="009B0EE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sz w:val="24"/>
          <w:szCs w:val="24"/>
          <w:lang w:val="fi-FI"/>
        </w:rPr>
        <w:t xml:space="preserve">Aset tidak berwujud dapat berupa </w:t>
      </w:r>
      <w:r w:rsidRPr="00F464F1">
        <w:rPr>
          <w:rFonts w:ascii="Arial" w:hAnsi="Arial" w:cs="Arial"/>
          <w:iCs/>
          <w:sz w:val="24"/>
          <w:szCs w:val="24"/>
        </w:rPr>
        <w:t>Perangkat lunak</w:t>
      </w:r>
      <w:r w:rsidRPr="00F464F1">
        <w:rPr>
          <w:rFonts w:ascii="Arial" w:hAnsi="Arial" w:cs="Arial"/>
          <w:i/>
          <w:iCs/>
          <w:sz w:val="24"/>
          <w:szCs w:val="24"/>
        </w:rPr>
        <w:t xml:space="preserve"> (software) </w:t>
      </w:r>
      <w:r w:rsidRPr="00F464F1">
        <w:rPr>
          <w:rFonts w:ascii="Arial" w:hAnsi="Arial" w:cs="Arial"/>
          <w:sz w:val="24"/>
          <w:szCs w:val="24"/>
        </w:rPr>
        <w:t xml:space="preserve">komputer, yang dapat disimpan dalam berbagai media penyimpanan seperti </w:t>
      </w:r>
      <w:r w:rsidRPr="00F464F1">
        <w:rPr>
          <w:rFonts w:ascii="Arial" w:hAnsi="Arial" w:cs="Arial"/>
          <w:i/>
          <w:iCs/>
          <w:sz w:val="24"/>
          <w:szCs w:val="24"/>
        </w:rPr>
        <w:t>flash disk</w:t>
      </w:r>
      <w:r w:rsidRPr="00F464F1">
        <w:rPr>
          <w:rFonts w:ascii="Arial" w:hAnsi="Arial" w:cs="Arial"/>
          <w:sz w:val="24"/>
          <w:szCs w:val="24"/>
        </w:rPr>
        <w:t xml:space="preserve">, </w:t>
      </w:r>
      <w:r w:rsidRPr="00F464F1">
        <w:rPr>
          <w:rFonts w:ascii="Arial" w:hAnsi="Arial" w:cs="Arial"/>
          <w:i/>
          <w:iCs/>
          <w:sz w:val="24"/>
          <w:szCs w:val="24"/>
        </w:rPr>
        <w:t>compact disk</w:t>
      </w:r>
      <w:r w:rsidRPr="00F464F1">
        <w:rPr>
          <w:rFonts w:ascii="Arial" w:hAnsi="Arial" w:cs="Arial"/>
          <w:sz w:val="24"/>
          <w:szCs w:val="24"/>
        </w:rPr>
        <w:t xml:space="preserve">, disket, pita, dan media penyimpanan lainnya. </w:t>
      </w:r>
      <w:r w:rsidRPr="00F464F1">
        <w:rPr>
          <w:rFonts w:ascii="Arial" w:hAnsi="Arial" w:cs="Arial"/>
          <w:iCs/>
          <w:sz w:val="24"/>
          <w:szCs w:val="24"/>
        </w:rPr>
        <w:t xml:space="preserve">Perangkat </w:t>
      </w:r>
      <w:r w:rsidRPr="00F464F1">
        <w:rPr>
          <w:rFonts w:ascii="Arial" w:hAnsi="Arial" w:cs="Arial"/>
          <w:sz w:val="24"/>
          <w:szCs w:val="24"/>
          <w:lang w:val="fi-FI"/>
        </w:rPr>
        <w:t>lunak</w:t>
      </w:r>
      <w:r w:rsidRPr="00F464F1">
        <w:rPr>
          <w:rFonts w:ascii="Arial" w:hAnsi="Arial" w:cs="Arial"/>
          <w:i/>
          <w:iCs/>
          <w:sz w:val="24"/>
          <w:szCs w:val="24"/>
        </w:rPr>
        <w:t xml:space="preserve"> (software) </w:t>
      </w:r>
      <w:r w:rsidRPr="00F464F1">
        <w:rPr>
          <w:rFonts w:ascii="Arial" w:hAnsi="Arial" w:cs="Arial"/>
          <w:sz w:val="24"/>
          <w:szCs w:val="24"/>
        </w:rPr>
        <w:t xml:space="preserve">komputer yang masuk dalam kategori </w:t>
      </w:r>
      <w:r w:rsidRPr="00F464F1">
        <w:rPr>
          <w:rFonts w:ascii="Arial" w:hAnsi="Arial" w:cs="Arial"/>
          <w:sz w:val="24"/>
          <w:szCs w:val="24"/>
          <w:lang w:val="en-US"/>
        </w:rPr>
        <w:t>aset tidak berwujud</w:t>
      </w:r>
      <w:r w:rsidRPr="00F464F1">
        <w:rPr>
          <w:rFonts w:ascii="Arial" w:hAnsi="Arial" w:cs="Arial"/>
          <w:sz w:val="24"/>
          <w:szCs w:val="24"/>
        </w:rPr>
        <w:t xml:space="preserve"> adalah </w:t>
      </w:r>
      <w:r w:rsidRPr="00F464F1">
        <w:rPr>
          <w:rFonts w:ascii="Arial" w:hAnsi="Arial" w:cs="Arial"/>
          <w:iCs/>
          <w:sz w:val="24"/>
          <w:szCs w:val="24"/>
        </w:rPr>
        <w:t>perangkat lunak</w:t>
      </w:r>
      <w:r w:rsidRPr="00F464F1">
        <w:rPr>
          <w:rFonts w:ascii="Arial" w:hAnsi="Arial" w:cs="Arial"/>
          <w:i/>
          <w:iCs/>
          <w:sz w:val="24"/>
          <w:szCs w:val="24"/>
        </w:rPr>
        <w:t xml:space="preserve"> (software) </w:t>
      </w:r>
      <w:r w:rsidRPr="00F464F1">
        <w:rPr>
          <w:rFonts w:ascii="Arial" w:hAnsi="Arial" w:cs="Arial"/>
          <w:sz w:val="24"/>
          <w:szCs w:val="24"/>
        </w:rPr>
        <w:t xml:space="preserve">yang bukan merupakan bagian tak terpisahkan dari </w:t>
      </w:r>
      <w:r w:rsidRPr="00F464F1">
        <w:rPr>
          <w:rFonts w:ascii="Arial" w:hAnsi="Arial" w:cs="Arial"/>
          <w:i/>
          <w:iCs/>
          <w:sz w:val="24"/>
          <w:szCs w:val="24"/>
        </w:rPr>
        <w:t xml:space="preserve">hardware </w:t>
      </w:r>
      <w:r w:rsidRPr="00F464F1">
        <w:rPr>
          <w:rFonts w:ascii="Arial" w:hAnsi="Arial" w:cs="Arial"/>
          <w:sz w:val="24"/>
          <w:szCs w:val="24"/>
        </w:rPr>
        <w:t>komputer tertentu,</w:t>
      </w:r>
      <w:r w:rsidRPr="00F464F1">
        <w:rPr>
          <w:rFonts w:ascii="Arial" w:hAnsi="Arial" w:cs="Arial"/>
          <w:sz w:val="24"/>
          <w:szCs w:val="24"/>
          <w:lang w:val="en-US"/>
        </w:rPr>
        <w:t xml:space="preserve"> lisensi, waralaba (</w:t>
      </w:r>
      <w:r w:rsidRPr="00F464F1">
        <w:rPr>
          <w:rFonts w:ascii="Arial" w:hAnsi="Arial" w:cs="Arial"/>
          <w:i/>
          <w:sz w:val="24"/>
          <w:szCs w:val="24"/>
          <w:lang w:val="en-US"/>
        </w:rPr>
        <w:t>Franchise</w:t>
      </w:r>
      <w:r w:rsidRPr="00F464F1">
        <w:rPr>
          <w:rFonts w:ascii="Arial" w:hAnsi="Arial" w:cs="Arial"/>
          <w:sz w:val="24"/>
          <w:szCs w:val="24"/>
          <w:lang w:val="en-US"/>
        </w:rPr>
        <w:t>), hak paten, hak cipta, h</w:t>
      </w:r>
      <w:r w:rsidRPr="00F464F1">
        <w:rPr>
          <w:rFonts w:ascii="Arial" w:hAnsi="Arial" w:cs="Arial"/>
          <w:sz w:val="24"/>
          <w:szCs w:val="24"/>
        </w:rPr>
        <w:t>asil kajian</w:t>
      </w:r>
      <w:r w:rsidRPr="00F464F1">
        <w:rPr>
          <w:rFonts w:ascii="Arial" w:hAnsi="Arial" w:cs="Arial"/>
          <w:sz w:val="24"/>
          <w:szCs w:val="24"/>
          <w:lang w:val="en-US"/>
        </w:rPr>
        <w:t xml:space="preserve"> </w:t>
      </w:r>
      <w:r w:rsidRPr="00F464F1">
        <w:rPr>
          <w:rFonts w:ascii="Arial" w:hAnsi="Arial" w:cs="Arial"/>
          <w:sz w:val="24"/>
          <w:szCs w:val="24"/>
        </w:rPr>
        <w:t>/</w:t>
      </w:r>
      <w:r w:rsidRPr="00F464F1">
        <w:rPr>
          <w:rFonts w:ascii="Arial" w:hAnsi="Arial" w:cs="Arial"/>
          <w:sz w:val="24"/>
          <w:szCs w:val="24"/>
          <w:lang w:val="en-US"/>
        </w:rPr>
        <w:t xml:space="preserve"> </w:t>
      </w:r>
      <w:r w:rsidRPr="00F464F1">
        <w:rPr>
          <w:rFonts w:ascii="Arial" w:hAnsi="Arial" w:cs="Arial"/>
          <w:sz w:val="24"/>
          <w:szCs w:val="24"/>
        </w:rPr>
        <w:t>pengembangan yang Memberikan manfaat jangka panjang, serta aset tidak berwujud lainnya yang memiliki nilai sejarah</w:t>
      </w:r>
      <w:r w:rsidRPr="00F464F1">
        <w:rPr>
          <w:rFonts w:ascii="Arial" w:hAnsi="Arial" w:cs="Arial"/>
          <w:sz w:val="24"/>
          <w:szCs w:val="24"/>
          <w:lang w:val="en-US"/>
        </w:rPr>
        <w:t xml:space="preserve"> / budaya.</w:t>
      </w:r>
    </w:p>
    <w:p w14:paraId="47D2F47F" w14:textId="77777777" w:rsidR="00E7401A" w:rsidRPr="00E10938" w:rsidRDefault="00360AEC"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Aset Lain-Lain</w:t>
      </w:r>
      <w:r w:rsidR="00E7401A" w:rsidRPr="00E10938">
        <w:rPr>
          <w:rFonts w:ascii="Arial" w:hAnsi="Arial" w:cs="Arial"/>
          <w:sz w:val="24"/>
          <w:szCs w:val="24"/>
          <w:lang w:val="fi-FI"/>
        </w:rPr>
        <w:t xml:space="preserve"> digunakan untuk mencatat aset lainnya yang tidak dapat dikelompokkan ke dalam Tagihan Penjualan Angsuran, Tuntutan Perbendaharaan, Tuntutan Ganti Rugi, Kemitraan dengan Pihak Ketiga dan Aset Tak Berwujud.</w:t>
      </w:r>
    </w:p>
    <w:p w14:paraId="50E5779C" w14:textId="77777777" w:rsidR="008F5904" w:rsidRDefault="008F5904">
      <w:pPr>
        <w:spacing w:after="0" w:line="240" w:lineRule="auto"/>
        <w:rPr>
          <w:rFonts w:ascii="Arial" w:hAnsi="Arial" w:cs="Arial"/>
          <w:sz w:val="24"/>
          <w:szCs w:val="24"/>
          <w:lang w:val="fi-FI"/>
        </w:rPr>
      </w:pPr>
      <w:r>
        <w:rPr>
          <w:rFonts w:ascii="Arial" w:hAnsi="Arial" w:cs="Arial"/>
          <w:sz w:val="24"/>
          <w:szCs w:val="24"/>
          <w:lang w:val="fi-FI"/>
        </w:rPr>
        <w:br w:type="page"/>
      </w:r>
    </w:p>
    <w:p w14:paraId="02FA8E12" w14:textId="49B21BE8" w:rsidR="00657035" w:rsidRPr="00BF299A"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BF299A">
        <w:rPr>
          <w:rFonts w:ascii="Arial" w:hAnsi="Arial" w:cs="Arial"/>
          <w:sz w:val="24"/>
          <w:szCs w:val="24"/>
          <w:lang w:val="fi-FI"/>
        </w:rPr>
        <w:lastRenderedPageBreak/>
        <w:t xml:space="preserve">Termasuk dalam aset lain-lain adalah aset tetap yang dihentikan dari penggunaan aktif pemerintah daerah karena </w:t>
      </w:r>
      <w:r w:rsidR="001F6803" w:rsidRPr="00BF299A">
        <w:rPr>
          <w:rFonts w:ascii="Arial" w:hAnsi="Arial" w:cs="Arial"/>
          <w:sz w:val="24"/>
          <w:szCs w:val="24"/>
          <w:lang w:val="fi-FI"/>
        </w:rPr>
        <w:t>rusak b</w:t>
      </w:r>
      <w:r w:rsidR="00360AEC" w:rsidRPr="00BF299A">
        <w:rPr>
          <w:rFonts w:ascii="Arial" w:hAnsi="Arial" w:cs="Arial"/>
          <w:sz w:val="24"/>
          <w:szCs w:val="24"/>
          <w:lang w:val="fi-FI"/>
        </w:rPr>
        <w:t>erat, usang, dan/atau aset</w:t>
      </w:r>
      <w:r w:rsidR="001F6803" w:rsidRPr="00BF299A">
        <w:rPr>
          <w:rFonts w:ascii="Arial" w:hAnsi="Arial" w:cs="Arial"/>
          <w:sz w:val="24"/>
          <w:szCs w:val="24"/>
          <w:lang w:val="fi-FI"/>
        </w:rPr>
        <w:t xml:space="preserve"> yang tidak digunakan karena sedang me</w:t>
      </w:r>
      <w:r w:rsidR="0050606A" w:rsidRPr="00BF299A">
        <w:rPr>
          <w:rFonts w:ascii="Arial" w:hAnsi="Arial" w:cs="Arial"/>
          <w:sz w:val="24"/>
          <w:szCs w:val="24"/>
          <w:lang w:val="fi-FI"/>
        </w:rPr>
        <w:t xml:space="preserve">nunggu proses pemindahtanganan seperti </w:t>
      </w:r>
      <w:r w:rsidR="001F6803" w:rsidRPr="00BF299A">
        <w:rPr>
          <w:rFonts w:ascii="Arial" w:hAnsi="Arial" w:cs="Arial"/>
          <w:sz w:val="24"/>
          <w:szCs w:val="24"/>
          <w:lang w:val="fi-FI"/>
        </w:rPr>
        <w:t>proses penjualan, sewa beli, pengh</w:t>
      </w:r>
      <w:r w:rsidR="00F67EE2" w:rsidRPr="00BF299A">
        <w:rPr>
          <w:rFonts w:ascii="Arial" w:hAnsi="Arial" w:cs="Arial"/>
          <w:sz w:val="24"/>
          <w:szCs w:val="24"/>
          <w:lang w:val="fi-FI"/>
        </w:rPr>
        <w:t>ibahan, penyertaan modal, serta perjanjian</w:t>
      </w:r>
      <w:r w:rsidR="0050606A" w:rsidRPr="00BF299A">
        <w:rPr>
          <w:rFonts w:ascii="Arial" w:hAnsi="Arial" w:cs="Arial"/>
          <w:sz w:val="24"/>
          <w:szCs w:val="24"/>
          <w:lang w:val="fi-FI"/>
        </w:rPr>
        <w:t xml:space="preserve"> (</w:t>
      </w:r>
      <w:r w:rsidR="0050606A" w:rsidRPr="00BF299A">
        <w:rPr>
          <w:rFonts w:ascii="Arial" w:hAnsi="Arial" w:cs="Arial"/>
          <w:i/>
          <w:sz w:val="24"/>
          <w:szCs w:val="24"/>
          <w:lang w:val="fi-FI"/>
        </w:rPr>
        <w:t>Idle Asset</w:t>
      </w:r>
      <w:r w:rsidR="0050606A" w:rsidRPr="00BF299A">
        <w:rPr>
          <w:rFonts w:ascii="Arial" w:hAnsi="Arial" w:cs="Arial"/>
          <w:sz w:val="24"/>
          <w:szCs w:val="24"/>
          <w:lang w:val="fi-FI"/>
        </w:rPr>
        <w:t>)</w:t>
      </w:r>
      <w:r w:rsidR="00F67EE2" w:rsidRPr="00BF299A">
        <w:rPr>
          <w:rFonts w:ascii="Arial" w:hAnsi="Arial" w:cs="Arial"/>
          <w:sz w:val="24"/>
          <w:szCs w:val="24"/>
          <w:lang w:val="fi-FI"/>
        </w:rPr>
        <w:t>.</w:t>
      </w:r>
    </w:p>
    <w:p w14:paraId="61290B86" w14:textId="77777777" w:rsidR="0050606A" w:rsidRPr="00BF299A" w:rsidRDefault="00657035"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BF299A">
        <w:rPr>
          <w:rFonts w:ascii="Arial" w:hAnsi="Arial" w:cs="Arial"/>
          <w:sz w:val="24"/>
          <w:szCs w:val="24"/>
          <w:lang w:val="fi-FI"/>
        </w:rPr>
        <w:t>Aset tetap yang dihentikan dari penggunaan aktif pemerintah daerah kare</w:t>
      </w:r>
      <w:r w:rsidR="001902EA" w:rsidRPr="00BF299A">
        <w:rPr>
          <w:rFonts w:ascii="Arial" w:hAnsi="Arial" w:cs="Arial"/>
          <w:sz w:val="24"/>
          <w:szCs w:val="24"/>
          <w:lang w:val="fi-FI"/>
        </w:rPr>
        <w:t xml:space="preserve">na rusak berat namun masih memiliki nilai buku maka </w:t>
      </w:r>
      <w:r w:rsidR="001902EA" w:rsidRPr="00BF299A">
        <w:rPr>
          <w:rFonts w:ascii="Arial" w:hAnsi="Arial" w:cs="Arial"/>
          <w:b/>
          <w:sz w:val="24"/>
          <w:szCs w:val="24"/>
          <w:lang w:val="fi-FI"/>
        </w:rPr>
        <w:t>disusutkan sebagaimana layaknya Aset Tetap</w:t>
      </w:r>
      <w:r w:rsidR="001902EA" w:rsidRPr="00BF299A">
        <w:rPr>
          <w:rFonts w:ascii="Arial" w:hAnsi="Arial" w:cs="Arial"/>
          <w:sz w:val="24"/>
          <w:szCs w:val="24"/>
          <w:lang w:val="fi-FI"/>
        </w:rPr>
        <w:t xml:space="preserve"> dan atas penyusutan tersebut disajikan ke dalam pos </w:t>
      </w:r>
      <w:r w:rsidR="001902EA" w:rsidRPr="00BF299A">
        <w:rPr>
          <w:rFonts w:ascii="Arial" w:hAnsi="Arial" w:cs="Arial"/>
          <w:b/>
          <w:sz w:val="24"/>
          <w:szCs w:val="24"/>
          <w:lang w:val="fi-FI"/>
        </w:rPr>
        <w:t>Akumulasi Penyusutan Aset Lain-Lain</w:t>
      </w:r>
      <w:r w:rsidR="001902EA" w:rsidRPr="00BF299A">
        <w:rPr>
          <w:rFonts w:ascii="Arial" w:hAnsi="Arial" w:cs="Arial"/>
          <w:sz w:val="24"/>
          <w:szCs w:val="24"/>
          <w:lang w:val="fi-FI"/>
        </w:rPr>
        <w:t>.</w:t>
      </w:r>
    </w:p>
    <w:p w14:paraId="7EABFC5A" w14:textId="113F7723" w:rsidR="0050606A" w:rsidRPr="00BF299A" w:rsidRDefault="0050606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BF299A">
        <w:rPr>
          <w:rFonts w:ascii="Arial" w:hAnsi="Arial" w:cs="Arial"/>
          <w:sz w:val="24"/>
          <w:szCs w:val="24"/>
          <w:lang w:val="fi-FI"/>
        </w:rPr>
        <w:t>Aset tetap yang dihentikan dari penggunaan aktif pemerintah daerah karena rusak berat dan secara permanen dihentikan penggunaannya, dikeluarkan dari neraca pada saat ada penetapan dari pengelola aset daerah sesuai dengan ketentuan perundang-undangan di bidang pengelolaan Barang Milik Daerah (BMD), dan diungkapkan dalam Catatan atas Laporan Keuangan.</w:t>
      </w:r>
    </w:p>
    <w:p w14:paraId="56509A06" w14:textId="77777777" w:rsidR="00E7401A" w:rsidRPr="00E10938" w:rsidRDefault="00E7401A" w:rsidP="00F464F1">
      <w:pPr>
        <w:pStyle w:val="ListParagraph"/>
        <w:widowControl w:val="0"/>
        <w:numPr>
          <w:ilvl w:val="0"/>
          <w:numId w:val="1"/>
        </w:numPr>
        <w:tabs>
          <w:tab w:val="clear" w:pos="4609"/>
        </w:tabs>
        <w:autoSpaceDE w:val="0"/>
        <w:autoSpaceDN w:val="0"/>
        <w:adjustRightInd w:val="0"/>
        <w:spacing w:before="120" w:after="0" w:line="480" w:lineRule="auto"/>
        <w:ind w:left="360"/>
        <w:contextualSpacing w:val="0"/>
        <w:jc w:val="both"/>
        <w:rPr>
          <w:rFonts w:ascii="Arial" w:hAnsi="Arial" w:cs="Arial"/>
          <w:b/>
          <w:sz w:val="24"/>
          <w:szCs w:val="24"/>
        </w:rPr>
      </w:pPr>
      <w:r w:rsidRPr="00E10938">
        <w:rPr>
          <w:rFonts w:ascii="Arial" w:hAnsi="Arial" w:cs="Arial"/>
          <w:b/>
          <w:sz w:val="24"/>
          <w:szCs w:val="24"/>
        </w:rPr>
        <w:t>PENGAKUAN</w:t>
      </w:r>
    </w:p>
    <w:p w14:paraId="6D31ABA6"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Secara umum aset lainnya dapat diakui pada saat:</w:t>
      </w:r>
    </w:p>
    <w:p w14:paraId="2592E67C" w14:textId="77777777" w:rsidR="00E7401A" w:rsidRPr="00E10938" w:rsidRDefault="00E7401A" w:rsidP="00F464F1">
      <w:pPr>
        <w:pStyle w:val="ListParagraph"/>
        <w:widowControl w:val="0"/>
        <w:numPr>
          <w:ilvl w:val="0"/>
          <w:numId w:val="5"/>
        </w:numPr>
        <w:autoSpaceDE w:val="0"/>
        <w:autoSpaceDN w:val="0"/>
        <w:adjustRightInd w:val="0"/>
        <w:spacing w:before="120" w:after="0" w:line="480" w:lineRule="auto"/>
        <w:ind w:left="1260"/>
        <w:contextualSpacing w:val="0"/>
        <w:jc w:val="both"/>
        <w:rPr>
          <w:rFonts w:ascii="Arial" w:hAnsi="Arial" w:cs="Arial"/>
          <w:sz w:val="24"/>
          <w:szCs w:val="24"/>
          <w:lang w:val="fi-FI"/>
        </w:rPr>
      </w:pPr>
      <w:r w:rsidRPr="00E10938">
        <w:rPr>
          <w:rFonts w:ascii="Arial" w:hAnsi="Arial" w:cs="Arial"/>
          <w:sz w:val="24"/>
          <w:szCs w:val="24"/>
          <w:lang w:val="fi-FI"/>
        </w:rPr>
        <w:t>Potensi manfaat ekonomi masa depan diperoleh oleh pemerintah daerah dan mempunyai nilai atau biaya yang dapat diukur dengan andal.</w:t>
      </w:r>
    </w:p>
    <w:p w14:paraId="0FA0DB2C" w14:textId="77777777" w:rsidR="00E7401A" w:rsidRPr="00E10938" w:rsidRDefault="00E7401A" w:rsidP="00F464F1">
      <w:pPr>
        <w:pStyle w:val="ListParagraph"/>
        <w:widowControl w:val="0"/>
        <w:numPr>
          <w:ilvl w:val="0"/>
          <w:numId w:val="5"/>
        </w:numPr>
        <w:autoSpaceDE w:val="0"/>
        <w:autoSpaceDN w:val="0"/>
        <w:adjustRightInd w:val="0"/>
        <w:spacing w:before="120" w:after="0" w:line="480" w:lineRule="auto"/>
        <w:ind w:left="1260"/>
        <w:contextualSpacing w:val="0"/>
        <w:jc w:val="both"/>
        <w:rPr>
          <w:rFonts w:ascii="Arial" w:hAnsi="Arial" w:cs="Arial"/>
          <w:sz w:val="24"/>
          <w:szCs w:val="24"/>
          <w:lang w:val="fi-FI"/>
        </w:rPr>
      </w:pPr>
      <w:r w:rsidRPr="00E10938">
        <w:rPr>
          <w:rFonts w:ascii="Arial" w:hAnsi="Arial" w:cs="Arial"/>
          <w:sz w:val="24"/>
          <w:szCs w:val="24"/>
          <w:lang w:val="fi-FI"/>
        </w:rPr>
        <w:t>Diterima atau kepemilikannya dan / atau kepenguasaannya berpindah.</w:t>
      </w:r>
    </w:p>
    <w:p w14:paraId="3A858F4E"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Aset lainnya yang diperoleh melalui pengeluaran kas maupun tanpa pengeluaran kas dapat diakui pada saat terjadinya transaksi berdasarkan dokumen perolehan yang sah sesuai dengan ketentuan yang berlaku.</w:t>
      </w:r>
    </w:p>
    <w:p w14:paraId="71B7D75E" w14:textId="77777777" w:rsidR="008F5904" w:rsidRDefault="008F5904">
      <w:pPr>
        <w:spacing w:after="0" w:line="240" w:lineRule="auto"/>
        <w:rPr>
          <w:rFonts w:ascii="Arial" w:hAnsi="Arial" w:cs="Arial"/>
          <w:sz w:val="24"/>
          <w:szCs w:val="24"/>
          <w:lang w:val="fi-FI"/>
        </w:rPr>
      </w:pPr>
      <w:r>
        <w:rPr>
          <w:rFonts w:ascii="Arial" w:hAnsi="Arial" w:cs="Arial"/>
          <w:sz w:val="24"/>
          <w:szCs w:val="24"/>
          <w:lang w:val="fi-FI"/>
        </w:rPr>
        <w:br w:type="page"/>
      </w:r>
    </w:p>
    <w:p w14:paraId="30D788CA" w14:textId="65FB389D"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lastRenderedPageBreak/>
        <w:t xml:space="preserve">Aset lainnya yang berkurang melalui penerimaan kas maupun tanpa penerimaan kas, diakui pada saat terjadinya transaksi berdasarkan dokumen yang sah sesuai dengan ketentuan yang berlaku.  </w:t>
      </w:r>
    </w:p>
    <w:p w14:paraId="50A52B42" w14:textId="77777777" w:rsidR="00E7401A" w:rsidRPr="00E10938" w:rsidRDefault="00E7401A" w:rsidP="00F464F1">
      <w:pPr>
        <w:pStyle w:val="ListParagraph"/>
        <w:widowControl w:val="0"/>
        <w:numPr>
          <w:ilvl w:val="0"/>
          <w:numId w:val="1"/>
        </w:numPr>
        <w:tabs>
          <w:tab w:val="clear" w:pos="4609"/>
        </w:tabs>
        <w:autoSpaceDE w:val="0"/>
        <w:autoSpaceDN w:val="0"/>
        <w:adjustRightInd w:val="0"/>
        <w:spacing w:before="120" w:after="0" w:line="480" w:lineRule="auto"/>
        <w:ind w:left="360"/>
        <w:contextualSpacing w:val="0"/>
        <w:jc w:val="both"/>
        <w:rPr>
          <w:rFonts w:ascii="Arial" w:hAnsi="Arial" w:cs="Arial"/>
          <w:b/>
          <w:sz w:val="24"/>
          <w:szCs w:val="24"/>
        </w:rPr>
      </w:pPr>
      <w:r w:rsidRPr="00E10938">
        <w:rPr>
          <w:rFonts w:ascii="Arial" w:hAnsi="Arial" w:cs="Arial"/>
          <w:b/>
          <w:sz w:val="24"/>
          <w:szCs w:val="24"/>
        </w:rPr>
        <w:t>PENGUKURAN DAN PENILAIAN</w:t>
      </w:r>
    </w:p>
    <w:p w14:paraId="6B7964E8"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Tagihan penjualan angsuran dinilai sebesar nilai nominal dari kontrak/berita acara penjualan aset yang bersangkutan setelah dikurangi dengan angsuran yang telah dibayarkan oleh pegawai ke kas umum daerah atau berdasarkan daftar saldo tagihan penjualan angsuran.</w:t>
      </w:r>
    </w:p>
    <w:p w14:paraId="2B2101A2"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Tuntutan Ganti Rugi dinilai sebesar nilai nominal dalam Surat Keterangan Tanggungjawab Mutlak (SKTM) setelah dikurangi dengan setoran yang telah dilakukan oleh pegawai yang bersangkutan ke kas umum daerah.</w:t>
      </w:r>
    </w:p>
    <w:p w14:paraId="2C486651"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Bangun, Kelola, Serah (BKS) dicatat sebesar nilai aset yang diserahkan oleh pemerintah kepada pihak ketiga/investor untuk membangun aset BKS tersebut. Aset yang berada dalam BKS ini disajikan terpisah dari Aset Tetap.</w:t>
      </w:r>
    </w:p>
    <w:p w14:paraId="7089E952" w14:textId="79FC8D73"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 xml:space="preserve">Penyerahan/pengembalian aset BKS oleh pihak ketiga/investor kepada pemerintah daerah pada akhir masa perjanjian sebagai </w:t>
      </w:r>
      <w:r w:rsidR="00F464F1">
        <w:rPr>
          <w:rFonts w:ascii="Arial" w:hAnsi="Arial" w:cs="Arial"/>
          <w:sz w:val="24"/>
          <w:szCs w:val="24"/>
          <w:lang w:val="fi-FI"/>
        </w:rPr>
        <w:t xml:space="preserve">             </w:t>
      </w:r>
      <w:r w:rsidRPr="00E10938">
        <w:rPr>
          <w:rFonts w:ascii="Arial" w:hAnsi="Arial" w:cs="Arial"/>
          <w:sz w:val="24"/>
          <w:szCs w:val="24"/>
          <w:lang w:val="fi-FI"/>
        </w:rPr>
        <w:t>berikut :</w:t>
      </w:r>
    </w:p>
    <w:p w14:paraId="75C8DBF5" w14:textId="77777777" w:rsidR="00E7401A" w:rsidRPr="00E10938" w:rsidRDefault="00E7401A" w:rsidP="00F464F1">
      <w:pPr>
        <w:numPr>
          <w:ilvl w:val="0"/>
          <w:numId w:val="7"/>
        </w:numPr>
        <w:spacing w:after="0" w:line="480" w:lineRule="auto"/>
        <w:ind w:left="1260"/>
        <w:jc w:val="both"/>
        <w:rPr>
          <w:rFonts w:ascii="Arial" w:hAnsi="Arial" w:cs="Arial"/>
          <w:sz w:val="24"/>
          <w:szCs w:val="24"/>
          <w:lang w:val="en-US"/>
        </w:rPr>
      </w:pPr>
      <w:r w:rsidRPr="00E10938">
        <w:rPr>
          <w:rFonts w:ascii="Arial" w:hAnsi="Arial" w:cs="Arial"/>
          <w:sz w:val="24"/>
          <w:szCs w:val="24"/>
        </w:rPr>
        <w:t>Untuk aset yang berasal dari pemerintah daerah dinilai sebesar nilai tercatat yang diserahkan pada saat aset tersebut dikerjasamakan dan disajikan kembali sebagai aset tetap.</w:t>
      </w:r>
    </w:p>
    <w:p w14:paraId="35AB38DF" w14:textId="77777777" w:rsidR="00E7401A" w:rsidRPr="00E10938" w:rsidRDefault="00E7401A" w:rsidP="00F464F1">
      <w:pPr>
        <w:numPr>
          <w:ilvl w:val="0"/>
          <w:numId w:val="7"/>
        </w:numPr>
        <w:spacing w:after="0" w:line="480" w:lineRule="auto"/>
        <w:ind w:left="1260"/>
        <w:jc w:val="both"/>
        <w:rPr>
          <w:rFonts w:cs="Tahoma"/>
        </w:rPr>
      </w:pPr>
      <w:r w:rsidRPr="00E10938">
        <w:rPr>
          <w:rFonts w:ascii="Arial" w:hAnsi="Arial" w:cs="Arial"/>
          <w:sz w:val="24"/>
          <w:szCs w:val="24"/>
        </w:rPr>
        <w:t>Untuk aset yang dibangun oleh pihak ketiga dinilai sebesar harga wajar pada saat perolehan/penyerahan.</w:t>
      </w:r>
    </w:p>
    <w:p w14:paraId="04B18806" w14:textId="77777777" w:rsidR="00CF1EE7" w:rsidRPr="00E10938" w:rsidRDefault="00CF1EE7"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Bangun, Serah, Kelola (BS</w:t>
      </w:r>
      <w:r w:rsidR="00886EA4" w:rsidRPr="00E10938">
        <w:rPr>
          <w:rFonts w:ascii="Arial" w:hAnsi="Arial" w:cs="Arial"/>
          <w:sz w:val="24"/>
          <w:szCs w:val="24"/>
          <w:lang w:val="fi-FI"/>
        </w:rPr>
        <w:t>K</w:t>
      </w:r>
      <w:r w:rsidRPr="00E10938">
        <w:rPr>
          <w:rFonts w:ascii="Arial" w:hAnsi="Arial" w:cs="Arial"/>
          <w:sz w:val="24"/>
          <w:szCs w:val="24"/>
          <w:lang w:val="fi-FI"/>
        </w:rPr>
        <w:t>) dicatat sebesar nilai perolehan aset tetap yang dibangun yaitu sebesar nilai aset tetap yang diserahkan pemerintah daerah ditambah dengan nilai perolehan aset yang dikeluarkan oleh pihak ketiga/investor untuk membangun aset tersebut</w:t>
      </w:r>
      <w:r w:rsidR="00F86B33" w:rsidRPr="00E10938">
        <w:rPr>
          <w:rFonts w:ascii="Arial" w:hAnsi="Arial" w:cs="Arial"/>
          <w:sz w:val="24"/>
          <w:szCs w:val="24"/>
          <w:lang w:val="fi-FI"/>
        </w:rPr>
        <w:t>.</w:t>
      </w:r>
    </w:p>
    <w:p w14:paraId="29BC0CD2" w14:textId="77777777" w:rsidR="00E7401A" w:rsidRPr="00F464F1"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color w:val="000000" w:themeColor="text1"/>
          <w:sz w:val="24"/>
          <w:szCs w:val="24"/>
          <w:lang w:val="fi-FI"/>
        </w:rPr>
      </w:pPr>
      <w:r w:rsidRPr="00F464F1">
        <w:rPr>
          <w:rFonts w:ascii="Arial" w:hAnsi="Arial" w:cs="Arial"/>
          <w:color w:val="000000" w:themeColor="text1"/>
          <w:sz w:val="24"/>
          <w:szCs w:val="24"/>
          <w:lang w:val="fi-FI"/>
        </w:rPr>
        <w:lastRenderedPageBreak/>
        <w:t xml:space="preserve">Aset Tak </w:t>
      </w:r>
      <w:r w:rsidRPr="00F464F1">
        <w:rPr>
          <w:rFonts w:ascii="Arial" w:hAnsi="Arial" w:cs="Arial"/>
          <w:sz w:val="24"/>
          <w:szCs w:val="24"/>
          <w:lang w:val="fi-FI"/>
        </w:rPr>
        <w:t>Berwujud</w:t>
      </w:r>
      <w:r w:rsidRPr="00F464F1">
        <w:rPr>
          <w:rFonts w:ascii="Arial" w:hAnsi="Arial" w:cs="Arial"/>
          <w:color w:val="000000" w:themeColor="text1"/>
          <w:sz w:val="24"/>
          <w:szCs w:val="24"/>
          <w:lang w:val="fi-FI"/>
        </w:rPr>
        <w:t xml:space="preserve"> </w:t>
      </w:r>
      <w:r w:rsidR="00BF299A" w:rsidRPr="00F464F1">
        <w:rPr>
          <w:rFonts w:ascii="Arial" w:hAnsi="Arial" w:cs="Arial"/>
          <w:sz w:val="24"/>
          <w:szCs w:val="24"/>
          <w:lang w:val="fi-FI"/>
        </w:rPr>
        <w:t>diukur</w:t>
      </w:r>
      <w:r w:rsidR="00BF299A" w:rsidRPr="00F464F1">
        <w:rPr>
          <w:rFonts w:ascii="Arial" w:hAnsi="Arial" w:cs="Arial"/>
          <w:color w:val="000000" w:themeColor="text1"/>
          <w:sz w:val="24"/>
          <w:szCs w:val="24"/>
          <w:lang w:val="fi-FI"/>
        </w:rPr>
        <w:t xml:space="preserve"> dan </w:t>
      </w:r>
      <w:r w:rsidR="00BF299A" w:rsidRPr="00F464F1">
        <w:rPr>
          <w:rFonts w:ascii="Arial" w:hAnsi="Arial" w:cs="Arial"/>
          <w:bCs/>
          <w:iCs/>
          <w:color w:val="000000" w:themeColor="text1"/>
          <w:sz w:val="24"/>
          <w:szCs w:val="24"/>
        </w:rPr>
        <w:t>dinilai dengan biaya perolehan. Apabila</w:t>
      </w:r>
      <w:r w:rsidR="00BF299A" w:rsidRPr="00F464F1">
        <w:rPr>
          <w:rFonts w:ascii="Arial" w:hAnsi="Arial" w:cs="Arial"/>
          <w:color w:val="000000" w:themeColor="text1"/>
          <w:sz w:val="24"/>
          <w:szCs w:val="24"/>
        </w:rPr>
        <w:t xml:space="preserve"> </w:t>
      </w:r>
      <w:r w:rsidR="00BF299A" w:rsidRPr="00F464F1">
        <w:rPr>
          <w:rFonts w:ascii="Arial" w:hAnsi="Arial" w:cs="Arial"/>
          <w:bCs/>
          <w:iCs/>
          <w:color w:val="000000" w:themeColor="text1"/>
          <w:sz w:val="24"/>
          <w:szCs w:val="24"/>
        </w:rPr>
        <w:t xml:space="preserve">penilaian </w:t>
      </w:r>
      <w:r w:rsidR="00BF299A" w:rsidRPr="00F464F1">
        <w:rPr>
          <w:rFonts w:ascii="Arial" w:hAnsi="Arial" w:cs="Arial"/>
          <w:color w:val="000000" w:themeColor="text1"/>
          <w:sz w:val="24"/>
          <w:szCs w:val="24"/>
          <w:lang w:val="fi-FI"/>
        </w:rPr>
        <w:t>aset tak berwujud</w:t>
      </w:r>
      <w:r w:rsidR="00BF299A" w:rsidRPr="00F464F1">
        <w:rPr>
          <w:rFonts w:ascii="Arial" w:hAnsi="Arial" w:cs="Arial"/>
          <w:bCs/>
          <w:iCs/>
          <w:color w:val="000000" w:themeColor="text1"/>
          <w:sz w:val="24"/>
          <w:szCs w:val="24"/>
        </w:rPr>
        <w:t xml:space="preserve"> dengan menggunakan biaya perolehan tidak dimungkinkan, maka</w:t>
      </w:r>
      <w:r w:rsidR="00BF299A" w:rsidRPr="00F464F1">
        <w:rPr>
          <w:rFonts w:ascii="Arial" w:hAnsi="Arial" w:cs="Arial"/>
          <w:color w:val="000000" w:themeColor="text1"/>
          <w:sz w:val="24"/>
          <w:szCs w:val="24"/>
        </w:rPr>
        <w:t xml:space="preserve"> </w:t>
      </w:r>
      <w:r w:rsidR="00BF299A" w:rsidRPr="00F464F1">
        <w:rPr>
          <w:rFonts w:ascii="Arial" w:hAnsi="Arial" w:cs="Arial"/>
          <w:bCs/>
          <w:iCs/>
          <w:color w:val="000000" w:themeColor="text1"/>
          <w:sz w:val="24"/>
          <w:szCs w:val="24"/>
        </w:rPr>
        <w:t xml:space="preserve">nilai </w:t>
      </w:r>
      <w:r w:rsidR="00BF299A" w:rsidRPr="00F464F1">
        <w:rPr>
          <w:rFonts w:ascii="Arial" w:hAnsi="Arial" w:cs="Arial"/>
          <w:color w:val="000000" w:themeColor="text1"/>
          <w:sz w:val="24"/>
          <w:szCs w:val="24"/>
          <w:lang w:val="fi-FI"/>
        </w:rPr>
        <w:t>aset tak berwujud</w:t>
      </w:r>
      <w:r w:rsidR="00BF299A" w:rsidRPr="00F464F1">
        <w:rPr>
          <w:rFonts w:ascii="Arial" w:hAnsi="Arial" w:cs="Arial"/>
          <w:bCs/>
          <w:iCs/>
          <w:color w:val="000000" w:themeColor="text1"/>
          <w:sz w:val="24"/>
          <w:szCs w:val="24"/>
        </w:rPr>
        <w:t xml:space="preserve"> berdasar </w:t>
      </w:r>
      <w:r w:rsidR="00BF299A" w:rsidRPr="00F464F1">
        <w:rPr>
          <w:rFonts w:ascii="Arial" w:hAnsi="Arial" w:cs="Arial"/>
          <w:color w:val="000000" w:themeColor="text1"/>
          <w:sz w:val="24"/>
          <w:szCs w:val="24"/>
        </w:rPr>
        <w:t xml:space="preserve">pada </w:t>
      </w:r>
      <w:r w:rsidR="00BF299A" w:rsidRPr="00F464F1">
        <w:rPr>
          <w:rFonts w:ascii="Arial" w:hAnsi="Arial" w:cs="Arial"/>
          <w:bCs/>
          <w:iCs/>
          <w:color w:val="000000" w:themeColor="text1"/>
          <w:sz w:val="24"/>
          <w:szCs w:val="24"/>
        </w:rPr>
        <w:t>nilai wajar pada saat perolehan</w:t>
      </w:r>
      <w:r w:rsidR="00BF299A" w:rsidRPr="00F464F1">
        <w:rPr>
          <w:rFonts w:ascii="Arial" w:hAnsi="Arial" w:cs="Arial"/>
          <w:color w:val="000000" w:themeColor="text1"/>
          <w:sz w:val="24"/>
          <w:szCs w:val="24"/>
        </w:rPr>
        <w:t>.</w:t>
      </w:r>
    </w:p>
    <w:p w14:paraId="2E44A86F" w14:textId="77777777" w:rsidR="00BF299A" w:rsidRPr="00F464F1" w:rsidRDefault="00BF299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color w:val="000000" w:themeColor="text1"/>
          <w:sz w:val="24"/>
          <w:szCs w:val="24"/>
          <w:lang w:val="fi-FI"/>
        </w:rPr>
      </w:pPr>
      <w:r w:rsidRPr="00F464F1">
        <w:rPr>
          <w:rFonts w:ascii="Arial" w:hAnsi="Arial" w:cs="Arial"/>
          <w:color w:val="000000" w:themeColor="text1"/>
          <w:sz w:val="24"/>
          <w:szCs w:val="24"/>
          <w:lang w:val="fi-FI"/>
        </w:rPr>
        <w:t xml:space="preserve">Aset Tak </w:t>
      </w:r>
      <w:r w:rsidRPr="00F464F1">
        <w:rPr>
          <w:rFonts w:ascii="Arial" w:hAnsi="Arial" w:cs="Arial"/>
          <w:sz w:val="24"/>
          <w:szCs w:val="24"/>
          <w:lang w:val="fi-FI"/>
        </w:rPr>
        <w:t>Berwujud</w:t>
      </w:r>
      <w:r w:rsidRPr="00F464F1">
        <w:rPr>
          <w:rFonts w:ascii="Arial" w:hAnsi="Arial" w:cs="Arial"/>
          <w:color w:val="000000" w:themeColor="text1"/>
          <w:sz w:val="24"/>
          <w:szCs w:val="24"/>
        </w:rPr>
        <w:t xml:space="preserve"> yang diperoleh melalui pembelian dinilai berdasarkan biaya perolehan. Bila ATB diperoleh secara gabungan, harus dihitung nilai untuk masing-masing aset, yaitu dengan mengalokasikan harga gabungan tersebut berdasarkan perbandingan nilai wajar masing-masing aset yang bersangkutan.</w:t>
      </w:r>
    </w:p>
    <w:p w14:paraId="1AFE837E" w14:textId="77777777" w:rsidR="00BF299A" w:rsidRPr="00F464F1" w:rsidRDefault="00BF299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color w:val="000000" w:themeColor="text1"/>
          <w:sz w:val="24"/>
          <w:szCs w:val="24"/>
          <w:lang w:val="fi-FI"/>
        </w:rPr>
      </w:pPr>
      <w:r w:rsidRPr="00F464F1">
        <w:rPr>
          <w:rFonts w:ascii="Arial" w:hAnsi="Arial" w:cs="Arial"/>
          <w:color w:val="000000" w:themeColor="text1"/>
          <w:sz w:val="24"/>
          <w:szCs w:val="24"/>
        </w:rPr>
        <w:t xml:space="preserve">Biaya-biaya </w:t>
      </w:r>
      <w:r w:rsidRPr="00F464F1">
        <w:rPr>
          <w:rFonts w:ascii="Arial" w:hAnsi="Arial" w:cs="Arial"/>
          <w:sz w:val="24"/>
          <w:szCs w:val="24"/>
          <w:lang w:val="fi-FI"/>
        </w:rPr>
        <w:t>perolehan</w:t>
      </w:r>
      <w:r w:rsidRPr="00F464F1">
        <w:rPr>
          <w:rFonts w:ascii="Arial" w:hAnsi="Arial" w:cs="Arial"/>
          <w:color w:val="000000" w:themeColor="text1"/>
          <w:sz w:val="24"/>
          <w:szCs w:val="24"/>
        </w:rPr>
        <w:t xml:space="preserve"> </w:t>
      </w:r>
      <w:r w:rsidRPr="00F464F1">
        <w:rPr>
          <w:rFonts w:ascii="Arial" w:hAnsi="Arial" w:cs="Arial"/>
          <w:color w:val="000000" w:themeColor="text1"/>
          <w:sz w:val="24"/>
          <w:szCs w:val="24"/>
          <w:lang w:val="en-US"/>
        </w:rPr>
        <w:t>aset tidak berwujud</w:t>
      </w:r>
      <w:r w:rsidRPr="00F464F1">
        <w:rPr>
          <w:rFonts w:ascii="Arial" w:hAnsi="Arial" w:cs="Arial"/>
          <w:color w:val="000000" w:themeColor="text1"/>
          <w:sz w:val="24"/>
          <w:szCs w:val="24"/>
        </w:rPr>
        <w:t xml:space="preserve"> meliputi seluruh biaya yang dikeluarkan untuk menjadikan aset tersebut dalam kondisi siap untuk beroperasi seperti yang diinginkan oleh manajemen. Oleh karenanya, biaya-biaya yang dikeluarkan untuk menggunakan dan memanfaatkan </w:t>
      </w:r>
      <w:r w:rsidRPr="00F464F1">
        <w:rPr>
          <w:rFonts w:ascii="Arial" w:hAnsi="Arial" w:cs="Arial"/>
          <w:color w:val="000000" w:themeColor="text1"/>
          <w:sz w:val="24"/>
          <w:szCs w:val="24"/>
          <w:lang w:val="en-US"/>
        </w:rPr>
        <w:t>aset tidak berwujud</w:t>
      </w:r>
      <w:r w:rsidRPr="00F464F1">
        <w:rPr>
          <w:rFonts w:ascii="Arial" w:hAnsi="Arial" w:cs="Arial"/>
          <w:color w:val="000000" w:themeColor="text1"/>
          <w:sz w:val="24"/>
          <w:szCs w:val="24"/>
        </w:rPr>
        <w:t xml:space="preserve"> bukan merupakan bagian dari perolehan </w:t>
      </w:r>
      <w:r w:rsidRPr="00F464F1">
        <w:rPr>
          <w:rFonts w:ascii="Arial" w:hAnsi="Arial" w:cs="Arial"/>
          <w:color w:val="000000" w:themeColor="text1"/>
          <w:sz w:val="24"/>
          <w:szCs w:val="24"/>
          <w:lang w:val="en-US"/>
        </w:rPr>
        <w:t>aset tidak berwujud</w:t>
      </w:r>
      <w:r w:rsidRPr="00F464F1">
        <w:rPr>
          <w:rFonts w:ascii="Arial" w:hAnsi="Arial" w:cs="Arial"/>
          <w:color w:val="000000" w:themeColor="text1"/>
          <w:sz w:val="24"/>
          <w:szCs w:val="24"/>
        </w:rPr>
        <w:t>.</w:t>
      </w:r>
    </w:p>
    <w:p w14:paraId="31073218" w14:textId="77777777" w:rsidR="00BF299A" w:rsidRPr="00F464F1" w:rsidRDefault="00BF299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color w:val="000000" w:themeColor="text1"/>
          <w:sz w:val="24"/>
          <w:szCs w:val="24"/>
        </w:rPr>
        <w:t xml:space="preserve">Biaya </w:t>
      </w:r>
      <w:r w:rsidRPr="00F464F1">
        <w:rPr>
          <w:rFonts w:ascii="Arial" w:hAnsi="Arial" w:cs="Arial"/>
          <w:sz w:val="24"/>
          <w:szCs w:val="24"/>
          <w:lang w:val="fi-FI"/>
        </w:rPr>
        <w:t>untuk memperoleh aset tak berwujud dengan pembelian terdiri dari harga beli, termasuk biaya import dan pajak-pajak, setelah dikurangi dengan potongan harga dan rabat</w:t>
      </w:r>
      <w:r w:rsidR="002C2438" w:rsidRPr="00F464F1">
        <w:rPr>
          <w:rFonts w:ascii="Arial" w:hAnsi="Arial" w:cs="Arial"/>
          <w:sz w:val="24"/>
          <w:szCs w:val="24"/>
          <w:lang w:val="fi-FI"/>
        </w:rPr>
        <w:t>, serta seluruh</w:t>
      </w:r>
      <w:r w:rsidRPr="00F464F1">
        <w:rPr>
          <w:rFonts w:ascii="Arial" w:hAnsi="Arial" w:cs="Arial"/>
          <w:sz w:val="24"/>
          <w:szCs w:val="24"/>
          <w:lang w:val="fi-FI"/>
        </w:rPr>
        <w:t xml:space="preserve"> biaya yang dapat diatribusikan secara langsung dalam membawa aset tersebut ke kondisi yang dimaksudkan.</w:t>
      </w:r>
    </w:p>
    <w:p w14:paraId="7C199AD5" w14:textId="6D1559B7" w:rsidR="002C2438" w:rsidRPr="00F464F1" w:rsidRDefault="002C2438"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sz w:val="24"/>
          <w:szCs w:val="24"/>
          <w:lang w:val="fi-FI"/>
        </w:rPr>
        <w:t>Contoh dari biaya yang dapat diatribusikan secara langsung adalah biaya pelatihan staf yang timbul secara langsung agar aset tersebut dapat digunakan dan biaya pengujian untuk menjamin aset tersebut dapat berfungsi secara baik.</w:t>
      </w:r>
    </w:p>
    <w:p w14:paraId="7D55CE98" w14:textId="77777777" w:rsidR="0086036E" w:rsidRPr="00F464F1"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sz w:val="24"/>
          <w:szCs w:val="24"/>
          <w:lang w:val="fi-FI"/>
        </w:rPr>
        <w:t xml:space="preserve">Aset Tidak Berwujud disajikan di neraca </w:t>
      </w:r>
      <w:r w:rsidR="0076589F" w:rsidRPr="00F464F1">
        <w:rPr>
          <w:rFonts w:ascii="Arial" w:hAnsi="Arial" w:cs="Arial"/>
          <w:sz w:val="24"/>
          <w:szCs w:val="24"/>
          <w:lang w:val="fi-FI"/>
        </w:rPr>
        <w:t>sebesar nilai buku atau nilai perolehan</w:t>
      </w:r>
      <w:r w:rsidRPr="00F464F1">
        <w:rPr>
          <w:rFonts w:ascii="Arial" w:hAnsi="Arial" w:cs="Arial"/>
          <w:sz w:val="24"/>
          <w:szCs w:val="24"/>
          <w:lang w:val="fi-FI"/>
        </w:rPr>
        <w:t xml:space="preserve"> setelah dikurang amortisasi.</w:t>
      </w:r>
    </w:p>
    <w:p w14:paraId="5FE388BD" w14:textId="77777777" w:rsidR="008E49E1" w:rsidRPr="00F464F1" w:rsidRDefault="008E49E1"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color w:val="000000" w:themeColor="text1"/>
          <w:sz w:val="24"/>
          <w:szCs w:val="24"/>
          <w:lang w:val="fi-FI"/>
        </w:rPr>
      </w:pPr>
      <w:r w:rsidRPr="00F464F1">
        <w:rPr>
          <w:rFonts w:ascii="Arial" w:hAnsi="Arial" w:cs="Arial"/>
          <w:color w:val="000000" w:themeColor="text1"/>
          <w:sz w:val="24"/>
          <w:szCs w:val="24"/>
          <w:lang w:val="fi-FI"/>
        </w:rPr>
        <w:lastRenderedPageBreak/>
        <w:t xml:space="preserve">Aset Lain-Lain seperti </w:t>
      </w:r>
      <w:r w:rsidRPr="00F464F1">
        <w:rPr>
          <w:rFonts w:ascii="Arial" w:hAnsi="Arial" w:cs="Arial"/>
          <w:sz w:val="24"/>
          <w:szCs w:val="24"/>
          <w:lang w:val="fi-FI"/>
        </w:rPr>
        <w:t>ase</w:t>
      </w:r>
      <w:r w:rsidR="003710F6" w:rsidRPr="00F464F1">
        <w:rPr>
          <w:rFonts w:ascii="Arial" w:hAnsi="Arial" w:cs="Arial"/>
          <w:sz w:val="24"/>
          <w:szCs w:val="24"/>
          <w:lang w:val="fi-FI"/>
        </w:rPr>
        <w:t>t</w:t>
      </w:r>
      <w:r w:rsidR="003710F6" w:rsidRPr="00F464F1">
        <w:rPr>
          <w:rFonts w:ascii="Arial" w:hAnsi="Arial" w:cs="Arial"/>
          <w:color w:val="000000" w:themeColor="text1"/>
          <w:sz w:val="24"/>
          <w:szCs w:val="24"/>
          <w:lang w:val="fi-FI"/>
        </w:rPr>
        <w:t xml:space="preserve"> rusak berat, aset yang dihentikan penggunaannya </w:t>
      </w:r>
      <w:r w:rsidRPr="00F464F1">
        <w:rPr>
          <w:rFonts w:ascii="Arial" w:hAnsi="Arial" w:cs="Arial"/>
          <w:color w:val="000000" w:themeColor="text1"/>
          <w:sz w:val="24"/>
          <w:szCs w:val="24"/>
          <w:lang w:val="fi-FI"/>
        </w:rPr>
        <w:t>diukur dan dinilai sesuai harga perolehan pada saat aset tetap tersebut diperoleh.</w:t>
      </w:r>
    </w:p>
    <w:p w14:paraId="3701ADAD" w14:textId="77777777" w:rsidR="0086036E" w:rsidRPr="00F464F1" w:rsidRDefault="0086036E" w:rsidP="00F464F1">
      <w:pPr>
        <w:pStyle w:val="ListParagraph"/>
        <w:widowControl w:val="0"/>
        <w:autoSpaceDE w:val="0"/>
        <w:autoSpaceDN w:val="0"/>
        <w:adjustRightInd w:val="0"/>
        <w:spacing w:before="120" w:after="0" w:line="480" w:lineRule="auto"/>
        <w:ind w:left="360"/>
        <w:contextualSpacing w:val="0"/>
        <w:jc w:val="both"/>
        <w:rPr>
          <w:rFonts w:ascii="Arial" w:hAnsi="Arial" w:cs="Arial"/>
          <w:b/>
          <w:color w:val="000000" w:themeColor="text1"/>
          <w:sz w:val="24"/>
          <w:szCs w:val="24"/>
          <w:lang w:val="fi-FI"/>
        </w:rPr>
      </w:pPr>
      <w:r w:rsidRPr="00F464F1">
        <w:rPr>
          <w:rFonts w:ascii="Arial" w:hAnsi="Arial" w:cs="Arial"/>
          <w:b/>
          <w:color w:val="000000" w:themeColor="text1"/>
          <w:sz w:val="24"/>
          <w:szCs w:val="24"/>
          <w:lang w:val="fi-FI"/>
        </w:rPr>
        <w:t>Amortisasi</w:t>
      </w:r>
      <w:r w:rsidR="00E7401A" w:rsidRPr="00F464F1">
        <w:rPr>
          <w:rFonts w:ascii="Arial" w:hAnsi="Arial" w:cs="Arial"/>
          <w:b/>
          <w:color w:val="000000" w:themeColor="text1"/>
          <w:sz w:val="24"/>
          <w:szCs w:val="24"/>
          <w:lang w:val="fi-FI"/>
        </w:rPr>
        <w:t xml:space="preserve"> </w:t>
      </w:r>
    </w:p>
    <w:p w14:paraId="567098B8" w14:textId="77777777" w:rsidR="009066DA" w:rsidRPr="00F464F1" w:rsidRDefault="0086036E"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color w:val="000000" w:themeColor="text1"/>
          <w:sz w:val="24"/>
          <w:szCs w:val="24"/>
          <w:lang w:val="fi-FI"/>
        </w:rPr>
        <w:t xml:space="preserve">Amortisasi adalah </w:t>
      </w:r>
      <w:r w:rsidRPr="00F464F1">
        <w:rPr>
          <w:rFonts w:ascii="Arial" w:hAnsi="Arial" w:cs="Arial"/>
          <w:sz w:val="24"/>
          <w:szCs w:val="24"/>
          <w:lang w:val="fi-FI"/>
        </w:rPr>
        <w:t>penyusutan terhadap aset tidak berwujud yang dialokasikan secara sistematis dan rasional selama masa manfaatnya kecuali atas aset tak berwujud yang memiliki masa manfaat tak terbatas.</w:t>
      </w:r>
    </w:p>
    <w:p w14:paraId="389FA0A3" w14:textId="77777777" w:rsidR="00E7401A" w:rsidRPr="00F464F1"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F464F1">
        <w:rPr>
          <w:rFonts w:ascii="Arial" w:hAnsi="Arial" w:cs="Arial"/>
          <w:sz w:val="24"/>
          <w:szCs w:val="24"/>
          <w:lang w:val="fi-FI"/>
        </w:rPr>
        <w:t xml:space="preserve">Perhitungan amortisasi dilakukan </w:t>
      </w:r>
      <w:r w:rsidR="009066DA" w:rsidRPr="00F464F1">
        <w:rPr>
          <w:rFonts w:ascii="Arial" w:hAnsi="Arial" w:cs="Arial"/>
          <w:sz w:val="24"/>
          <w:szCs w:val="24"/>
          <w:lang w:val="fi-FI"/>
        </w:rPr>
        <w:t xml:space="preserve">menggunakan </w:t>
      </w:r>
      <w:r w:rsidRPr="00F464F1">
        <w:rPr>
          <w:rFonts w:ascii="Arial" w:hAnsi="Arial" w:cs="Arial"/>
          <w:sz w:val="24"/>
          <w:szCs w:val="24"/>
          <w:lang w:val="fi-FI"/>
        </w:rPr>
        <w:t xml:space="preserve">metode garis </w:t>
      </w:r>
      <w:r w:rsidR="009066DA" w:rsidRPr="00F464F1">
        <w:rPr>
          <w:rFonts w:ascii="Arial" w:hAnsi="Arial" w:cs="Arial"/>
          <w:sz w:val="24"/>
          <w:szCs w:val="24"/>
          <w:lang w:val="fi-FI"/>
        </w:rPr>
        <w:t>lurus</w:t>
      </w:r>
      <w:r w:rsidR="009362FD" w:rsidRPr="00F464F1">
        <w:rPr>
          <w:rFonts w:ascii="Arial" w:hAnsi="Arial" w:cs="Arial"/>
          <w:sz w:val="24"/>
          <w:szCs w:val="24"/>
          <w:lang w:val="fi-FI"/>
        </w:rPr>
        <w:t>.</w:t>
      </w:r>
    </w:p>
    <w:p w14:paraId="5EE2663A" w14:textId="77777777" w:rsidR="0086036E" w:rsidRPr="00F464F1" w:rsidRDefault="0086036E"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color w:val="000000" w:themeColor="text1"/>
          <w:sz w:val="24"/>
          <w:szCs w:val="24"/>
          <w:lang w:val="fi-FI"/>
        </w:rPr>
      </w:pPr>
      <w:r w:rsidRPr="00F464F1">
        <w:rPr>
          <w:rFonts w:ascii="Arial" w:hAnsi="Arial" w:cs="Arial"/>
          <w:sz w:val="24"/>
          <w:szCs w:val="24"/>
          <w:lang w:val="fi-FI"/>
        </w:rPr>
        <w:t>Amortisasi aset tidak berwujud diun</w:t>
      </w:r>
      <w:r w:rsidRPr="00F464F1">
        <w:rPr>
          <w:rFonts w:ascii="Arial" w:hAnsi="Arial" w:cs="Arial"/>
          <w:color w:val="000000" w:themeColor="text1"/>
          <w:sz w:val="24"/>
          <w:szCs w:val="24"/>
          <w:lang w:val="fi-FI"/>
        </w:rPr>
        <w:t>gkapkan dalam neraca dalam akun “Akumula</w:t>
      </w:r>
      <w:r w:rsidR="00A90FCD" w:rsidRPr="00F464F1">
        <w:rPr>
          <w:rFonts w:ascii="Arial" w:hAnsi="Arial" w:cs="Arial"/>
          <w:color w:val="000000" w:themeColor="text1"/>
          <w:sz w:val="24"/>
          <w:szCs w:val="24"/>
          <w:lang w:val="fi-FI"/>
        </w:rPr>
        <w:t>si Amortisasi” yang akan mengur</w:t>
      </w:r>
      <w:r w:rsidRPr="00F464F1">
        <w:rPr>
          <w:rFonts w:ascii="Arial" w:hAnsi="Arial" w:cs="Arial"/>
          <w:color w:val="000000" w:themeColor="text1"/>
          <w:sz w:val="24"/>
          <w:szCs w:val="24"/>
          <w:lang w:val="fi-FI"/>
        </w:rPr>
        <w:t>a</w:t>
      </w:r>
      <w:r w:rsidR="00A90FCD" w:rsidRPr="00F464F1">
        <w:rPr>
          <w:rFonts w:ascii="Arial" w:hAnsi="Arial" w:cs="Arial"/>
          <w:color w:val="000000" w:themeColor="text1"/>
          <w:sz w:val="24"/>
          <w:szCs w:val="24"/>
          <w:lang w:val="fi-FI"/>
        </w:rPr>
        <w:t>n</w:t>
      </w:r>
      <w:r w:rsidRPr="00F464F1">
        <w:rPr>
          <w:rFonts w:ascii="Arial" w:hAnsi="Arial" w:cs="Arial"/>
          <w:color w:val="000000" w:themeColor="text1"/>
          <w:sz w:val="24"/>
          <w:szCs w:val="24"/>
          <w:lang w:val="fi-FI"/>
        </w:rPr>
        <w:t>gi nilai buku dari aset tidak berwujud tersebut. Selain itu amortisasi juga akan diungkapkan dalam Laporan Operasional sebagai “Beban Amortisasi”</w:t>
      </w:r>
      <w:r w:rsidR="00F86B33" w:rsidRPr="00F464F1">
        <w:rPr>
          <w:rFonts w:ascii="Arial" w:hAnsi="Arial" w:cs="Arial"/>
          <w:color w:val="000000" w:themeColor="text1"/>
          <w:sz w:val="24"/>
          <w:szCs w:val="24"/>
          <w:lang w:val="fi-FI"/>
        </w:rPr>
        <w:t>.</w:t>
      </w:r>
    </w:p>
    <w:p w14:paraId="6B7E7D59" w14:textId="63A46E52" w:rsidR="00B22338" w:rsidRDefault="00B22338">
      <w:pPr>
        <w:spacing w:after="0" w:line="240" w:lineRule="auto"/>
        <w:rPr>
          <w:rFonts w:ascii="Arial" w:hAnsi="Arial" w:cs="Arial"/>
          <w:b/>
          <w:sz w:val="24"/>
          <w:szCs w:val="24"/>
          <w:lang w:val="fi-FI"/>
        </w:rPr>
      </w:pPr>
    </w:p>
    <w:p w14:paraId="75C2C4FE" w14:textId="476792FB" w:rsidR="001963F5" w:rsidRPr="00C75F8A" w:rsidRDefault="001963F5" w:rsidP="008F5904">
      <w:pPr>
        <w:pStyle w:val="ListParagraph"/>
        <w:widowControl w:val="0"/>
        <w:autoSpaceDE w:val="0"/>
        <w:autoSpaceDN w:val="0"/>
        <w:adjustRightInd w:val="0"/>
        <w:spacing w:before="120" w:after="0" w:line="360" w:lineRule="auto"/>
        <w:ind w:left="360"/>
        <w:contextualSpacing w:val="0"/>
        <w:jc w:val="center"/>
        <w:rPr>
          <w:rFonts w:ascii="Arial" w:hAnsi="Arial" w:cs="Arial"/>
          <w:b/>
          <w:sz w:val="24"/>
          <w:szCs w:val="24"/>
          <w:lang w:val="fi-FI"/>
        </w:rPr>
      </w:pPr>
      <w:r w:rsidRPr="00C75F8A">
        <w:rPr>
          <w:rFonts w:ascii="Arial" w:hAnsi="Arial" w:cs="Arial"/>
          <w:b/>
          <w:sz w:val="24"/>
          <w:szCs w:val="24"/>
          <w:lang w:val="fi-FI"/>
        </w:rPr>
        <w:t>Tabel 20.1</w:t>
      </w:r>
    </w:p>
    <w:p w14:paraId="4C0C36EA" w14:textId="77777777" w:rsidR="001963F5" w:rsidRPr="00C75F8A" w:rsidRDefault="001963F5" w:rsidP="008F5904">
      <w:pPr>
        <w:pStyle w:val="ListParagraph"/>
        <w:widowControl w:val="0"/>
        <w:autoSpaceDE w:val="0"/>
        <w:autoSpaceDN w:val="0"/>
        <w:adjustRightInd w:val="0"/>
        <w:spacing w:before="120" w:after="0" w:line="360" w:lineRule="auto"/>
        <w:ind w:left="360"/>
        <w:contextualSpacing w:val="0"/>
        <w:jc w:val="center"/>
        <w:rPr>
          <w:rFonts w:ascii="Arial" w:hAnsi="Arial" w:cs="Arial"/>
          <w:b/>
          <w:sz w:val="24"/>
          <w:szCs w:val="24"/>
          <w:lang w:val="fi-FI"/>
        </w:rPr>
      </w:pPr>
      <w:r w:rsidRPr="00C75F8A">
        <w:rPr>
          <w:rFonts w:ascii="Arial" w:hAnsi="Arial" w:cs="Arial"/>
          <w:b/>
          <w:sz w:val="24"/>
          <w:szCs w:val="24"/>
          <w:lang w:val="fi-FI"/>
        </w:rPr>
        <w:t>Masa Manfaat Aset Tidak Berwujud</w:t>
      </w:r>
    </w:p>
    <w:tbl>
      <w:tblPr>
        <w:tblStyle w:val="TableGrid"/>
        <w:tblW w:w="0" w:type="auto"/>
        <w:jc w:val="center"/>
        <w:tblLook w:val="04A0" w:firstRow="1" w:lastRow="0" w:firstColumn="1" w:lastColumn="0" w:noHBand="0" w:noVBand="1"/>
      </w:tblPr>
      <w:tblGrid>
        <w:gridCol w:w="555"/>
        <w:gridCol w:w="4144"/>
        <w:gridCol w:w="2350"/>
      </w:tblGrid>
      <w:tr w:rsidR="00C75F8A" w:rsidRPr="00C75F8A" w14:paraId="3905A6EB" w14:textId="77777777" w:rsidTr="00F464F1">
        <w:trPr>
          <w:trHeight w:val="498"/>
          <w:jc w:val="center"/>
        </w:trPr>
        <w:tc>
          <w:tcPr>
            <w:tcW w:w="0" w:type="dxa"/>
            <w:vAlign w:val="center"/>
          </w:tcPr>
          <w:p w14:paraId="0BA3858E"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No</w:t>
            </w:r>
          </w:p>
        </w:tc>
        <w:tc>
          <w:tcPr>
            <w:tcW w:w="0" w:type="dxa"/>
            <w:vAlign w:val="center"/>
          </w:tcPr>
          <w:p w14:paraId="1B474432"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Jenis Aset Tidak Berwujud</w:t>
            </w:r>
          </w:p>
        </w:tc>
        <w:tc>
          <w:tcPr>
            <w:tcW w:w="0" w:type="dxa"/>
            <w:vAlign w:val="center"/>
          </w:tcPr>
          <w:p w14:paraId="18100111"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Masa Manfaat (Tahun)</w:t>
            </w:r>
          </w:p>
        </w:tc>
      </w:tr>
      <w:tr w:rsidR="00C75F8A" w:rsidRPr="00C75F8A" w14:paraId="0C63A598" w14:textId="77777777" w:rsidTr="00F464F1">
        <w:trPr>
          <w:trHeight w:val="498"/>
          <w:jc w:val="center"/>
        </w:trPr>
        <w:tc>
          <w:tcPr>
            <w:tcW w:w="555" w:type="dxa"/>
            <w:vAlign w:val="center"/>
          </w:tcPr>
          <w:p w14:paraId="28E152A0"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1</w:t>
            </w:r>
          </w:p>
        </w:tc>
        <w:tc>
          <w:tcPr>
            <w:tcW w:w="4144" w:type="dxa"/>
            <w:vAlign w:val="center"/>
          </w:tcPr>
          <w:p w14:paraId="672B8204"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Software Komputer</w:t>
            </w:r>
          </w:p>
        </w:tc>
        <w:tc>
          <w:tcPr>
            <w:tcW w:w="2350" w:type="dxa"/>
            <w:vAlign w:val="center"/>
          </w:tcPr>
          <w:p w14:paraId="0B27AEA5"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4</w:t>
            </w:r>
          </w:p>
        </w:tc>
      </w:tr>
      <w:tr w:rsidR="00C75F8A" w:rsidRPr="00C75F8A" w14:paraId="3F852BC1" w14:textId="77777777" w:rsidTr="00F464F1">
        <w:trPr>
          <w:trHeight w:val="498"/>
          <w:jc w:val="center"/>
        </w:trPr>
        <w:tc>
          <w:tcPr>
            <w:tcW w:w="555" w:type="dxa"/>
            <w:vAlign w:val="center"/>
          </w:tcPr>
          <w:p w14:paraId="65D46DCA"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2</w:t>
            </w:r>
          </w:p>
        </w:tc>
        <w:tc>
          <w:tcPr>
            <w:tcW w:w="4144" w:type="dxa"/>
            <w:vAlign w:val="center"/>
          </w:tcPr>
          <w:p w14:paraId="2184D9B8"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Lisensi</w:t>
            </w:r>
          </w:p>
        </w:tc>
        <w:tc>
          <w:tcPr>
            <w:tcW w:w="2350" w:type="dxa"/>
            <w:vAlign w:val="center"/>
          </w:tcPr>
          <w:p w14:paraId="00A11A93"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10</w:t>
            </w:r>
          </w:p>
        </w:tc>
      </w:tr>
      <w:tr w:rsidR="00C75F8A" w:rsidRPr="00C75F8A" w14:paraId="3A680412" w14:textId="77777777" w:rsidTr="00F464F1">
        <w:trPr>
          <w:trHeight w:val="498"/>
          <w:jc w:val="center"/>
        </w:trPr>
        <w:tc>
          <w:tcPr>
            <w:tcW w:w="555" w:type="dxa"/>
            <w:vAlign w:val="center"/>
          </w:tcPr>
          <w:p w14:paraId="72EC6759"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3</w:t>
            </w:r>
          </w:p>
        </w:tc>
        <w:tc>
          <w:tcPr>
            <w:tcW w:w="4144" w:type="dxa"/>
            <w:vAlign w:val="center"/>
          </w:tcPr>
          <w:p w14:paraId="7245BDA3"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Hak Paten</w:t>
            </w:r>
          </w:p>
        </w:tc>
        <w:tc>
          <w:tcPr>
            <w:tcW w:w="2350" w:type="dxa"/>
            <w:vAlign w:val="center"/>
          </w:tcPr>
          <w:p w14:paraId="7888FD3D"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10</w:t>
            </w:r>
          </w:p>
        </w:tc>
      </w:tr>
      <w:tr w:rsidR="00C75F8A" w:rsidRPr="00C75F8A" w14:paraId="0C2BA113" w14:textId="77777777" w:rsidTr="00F464F1">
        <w:trPr>
          <w:trHeight w:val="498"/>
          <w:jc w:val="center"/>
        </w:trPr>
        <w:tc>
          <w:tcPr>
            <w:tcW w:w="555" w:type="dxa"/>
            <w:vAlign w:val="center"/>
          </w:tcPr>
          <w:p w14:paraId="43710A92"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4</w:t>
            </w:r>
          </w:p>
        </w:tc>
        <w:tc>
          <w:tcPr>
            <w:tcW w:w="4144" w:type="dxa"/>
            <w:vAlign w:val="center"/>
          </w:tcPr>
          <w:p w14:paraId="62AF4952"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Hak Cipta</w:t>
            </w:r>
          </w:p>
        </w:tc>
        <w:tc>
          <w:tcPr>
            <w:tcW w:w="2350" w:type="dxa"/>
            <w:vAlign w:val="center"/>
          </w:tcPr>
          <w:p w14:paraId="799CB729" w14:textId="77777777" w:rsidR="001963F5"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10</w:t>
            </w:r>
          </w:p>
        </w:tc>
      </w:tr>
      <w:tr w:rsidR="00C75F8A" w:rsidRPr="00C75F8A" w14:paraId="5B270D68" w14:textId="77777777" w:rsidTr="00F464F1">
        <w:trPr>
          <w:trHeight w:val="498"/>
          <w:jc w:val="center"/>
        </w:trPr>
        <w:tc>
          <w:tcPr>
            <w:tcW w:w="555" w:type="dxa"/>
            <w:vAlign w:val="center"/>
          </w:tcPr>
          <w:p w14:paraId="00CF0F14"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5</w:t>
            </w:r>
          </w:p>
        </w:tc>
        <w:tc>
          <w:tcPr>
            <w:tcW w:w="4144" w:type="dxa"/>
            <w:vAlign w:val="center"/>
          </w:tcPr>
          <w:p w14:paraId="22821615"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Waralaba</w:t>
            </w:r>
          </w:p>
        </w:tc>
        <w:tc>
          <w:tcPr>
            <w:tcW w:w="2350" w:type="dxa"/>
            <w:vAlign w:val="center"/>
          </w:tcPr>
          <w:p w14:paraId="7395F6B9"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20</w:t>
            </w:r>
          </w:p>
        </w:tc>
      </w:tr>
      <w:tr w:rsidR="00C75F8A" w:rsidRPr="00C75F8A" w14:paraId="0C0F82C4" w14:textId="77777777" w:rsidTr="00F464F1">
        <w:trPr>
          <w:trHeight w:val="498"/>
          <w:jc w:val="center"/>
        </w:trPr>
        <w:tc>
          <w:tcPr>
            <w:tcW w:w="555" w:type="dxa"/>
            <w:vAlign w:val="center"/>
          </w:tcPr>
          <w:p w14:paraId="043A2A1F"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6</w:t>
            </w:r>
          </w:p>
        </w:tc>
        <w:tc>
          <w:tcPr>
            <w:tcW w:w="4144" w:type="dxa"/>
            <w:vAlign w:val="center"/>
          </w:tcPr>
          <w:p w14:paraId="466EAAD9"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both"/>
              <w:rPr>
                <w:rFonts w:ascii="Arial" w:hAnsi="Arial" w:cs="Arial"/>
                <w:sz w:val="24"/>
                <w:szCs w:val="24"/>
                <w:lang w:val="fi-FI"/>
              </w:rPr>
            </w:pPr>
            <w:r w:rsidRPr="00C75F8A">
              <w:rPr>
                <w:rFonts w:ascii="Arial" w:hAnsi="Arial" w:cs="Arial"/>
                <w:sz w:val="24"/>
                <w:szCs w:val="24"/>
                <w:lang w:val="fi-FI"/>
              </w:rPr>
              <w:t>Hasil Kajian / Pengembangan</w:t>
            </w:r>
          </w:p>
        </w:tc>
        <w:tc>
          <w:tcPr>
            <w:tcW w:w="2350" w:type="dxa"/>
            <w:vAlign w:val="center"/>
          </w:tcPr>
          <w:p w14:paraId="1E9D1A88" w14:textId="77777777" w:rsidR="00C75F8A" w:rsidRPr="00C75F8A" w:rsidRDefault="00C75F8A" w:rsidP="00F464F1">
            <w:pPr>
              <w:pStyle w:val="ListParagraph"/>
              <w:widowControl w:val="0"/>
              <w:autoSpaceDE w:val="0"/>
              <w:autoSpaceDN w:val="0"/>
              <w:adjustRightInd w:val="0"/>
              <w:spacing w:before="120" w:after="0" w:line="240" w:lineRule="auto"/>
              <w:ind w:left="0"/>
              <w:contextualSpacing w:val="0"/>
              <w:jc w:val="center"/>
              <w:rPr>
                <w:rFonts w:ascii="Arial" w:hAnsi="Arial" w:cs="Arial"/>
                <w:sz w:val="24"/>
                <w:szCs w:val="24"/>
                <w:lang w:val="fi-FI"/>
              </w:rPr>
            </w:pPr>
            <w:r w:rsidRPr="00C75F8A">
              <w:rPr>
                <w:rFonts w:ascii="Arial" w:hAnsi="Arial" w:cs="Arial"/>
                <w:sz w:val="24"/>
                <w:szCs w:val="24"/>
                <w:lang w:val="fi-FI"/>
              </w:rPr>
              <w:t>20</w:t>
            </w:r>
          </w:p>
        </w:tc>
      </w:tr>
    </w:tbl>
    <w:p w14:paraId="66B12EA5" w14:textId="2A110055" w:rsidR="008F5904" w:rsidRDefault="008F5904">
      <w:pPr>
        <w:spacing w:after="0" w:line="240" w:lineRule="auto"/>
        <w:rPr>
          <w:rFonts w:ascii="Arial" w:hAnsi="Arial" w:cs="Arial"/>
          <w:b/>
          <w:sz w:val="24"/>
          <w:szCs w:val="24"/>
        </w:rPr>
      </w:pPr>
    </w:p>
    <w:p w14:paraId="04395279" w14:textId="77777777" w:rsidR="000B720C" w:rsidRDefault="000B720C">
      <w:pPr>
        <w:spacing w:after="0" w:line="240" w:lineRule="auto"/>
        <w:rPr>
          <w:rFonts w:ascii="Arial" w:hAnsi="Arial" w:cs="Arial"/>
          <w:b/>
          <w:sz w:val="24"/>
          <w:szCs w:val="24"/>
        </w:rPr>
      </w:pPr>
      <w:r>
        <w:rPr>
          <w:rFonts w:ascii="Arial" w:hAnsi="Arial" w:cs="Arial"/>
          <w:b/>
          <w:sz w:val="24"/>
          <w:szCs w:val="24"/>
        </w:rPr>
        <w:br w:type="page"/>
      </w:r>
    </w:p>
    <w:p w14:paraId="20178E56" w14:textId="595A9CAC" w:rsidR="00E7401A" w:rsidRPr="00E10938" w:rsidRDefault="00E7401A" w:rsidP="00F464F1">
      <w:pPr>
        <w:pStyle w:val="ListParagraph"/>
        <w:widowControl w:val="0"/>
        <w:numPr>
          <w:ilvl w:val="0"/>
          <w:numId w:val="1"/>
        </w:numPr>
        <w:tabs>
          <w:tab w:val="clear" w:pos="4609"/>
        </w:tabs>
        <w:autoSpaceDE w:val="0"/>
        <w:autoSpaceDN w:val="0"/>
        <w:adjustRightInd w:val="0"/>
        <w:spacing w:before="120" w:after="0" w:line="480" w:lineRule="auto"/>
        <w:ind w:left="360"/>
        <w:contextualSpacing w:val="0"/>
        <w:jc w:val="both"/>
        <w:rPr>
          <w:rFonts w:ascii="Arial" w:hAnsi="Arial" w:cs="Arial"/>
          <w:b/>
          <w:sz w:val="24"/>
          <w:szCs w:val="24"/>
        </w:rPr>
      </w:pPr>
      <w:r w:rsidRPr="00E10938">
        <w:rPr>
          <w:rFonts w:ascii="Arial" w:hAnsi="Arial" w:cs="Arial"/>
          <w:b/>
          <w:sz w:val="24"/>
          <w:szCs w:val="24"/>
        </w:rPr>
        <w:lastRenderedPageBreak/>
        <w:t>PENGUNGKAPAN</w:t>
      </w:r>
    </w:p>
    <w:p w14:paraId="42BC32DD" w14:textId="77777777" w:rsidR="00E7401A" w:rsidRPr="00E10938" w:rsidRDefault="00E7401A" w:rsidP="00F464F1">
      <w:pPr>
        <w:pStyle w:val="ListParagraph"/>
        <w:widowControl w:val="0"/>
        <w:numPr>
          <w:ilvl w:val="0"/>
          <w:numId w:val="3"/>
        </w:numPr>
        <w:tabs>
          <w:tab w:val="left" w:pos="900"/>
        </w:tabs>
        <w:autoSpaceDE w:val="0"/>
        <w:autoSpaceDN w:val="0"/>
        <w:adjustRightInd w:val="0"/>
        <w:spacing w:before="120" w:after="0" w:line="480" w:lineRule="auto"/>
        <w:ind w:left="900" w:hanging="540"/>
        <w:contextualSpacing w:val="0"/>
        <w:jc w:val="both"/>
        <w:rPr>
          <w:rFonts w:ascii="Arial" w:hAnsi="Arial" w:cs="Arial"/>
          <w:sz w:val="24"/>
          <w:szCs w:val="24"/>
          <w:lang w:val="fi-FI"/>
        </w:rPr>
      </w:pPr>
      <w:r w:rsidRPr="00E10938">
        <w:rPr>
          <w:rFonts w:ascii="Arial" w:hAnsi="Arial" w:cs="Arial"/>
          <w:sz w:val="24"/>
          <w:szCs w:val="24"/>
          <w:lang w:val="fi-FI"/>
        </w:rPr>
        <w:t xml:space="preserve">Pengungkapan aset lainnya dalam catatan atas laporan keuangan, sekurang-kurangnya mencakup hal-hal sebagai berikut: </w:t>
      </w:r>
    </w:p>
    <w:p w14:paraId="48F815E9" w14:textId="77777777" w:rsidR="00E7401A" w:rsidRPr="00E10938" w:rsidRDefault="00E7401A" w:rsidP="00F464F1">
      <w:pPr>
        <w:pStyle w:val="Default"/>
        <w:numPr>
          <w:ilvl w:val="0"/>
          <w:numId w:val="2"/>
        </w:numPr>
        <w:tabs>
          <w:tab w:val="left" w:pos="1260"/>
        </w:tabs>
        <w:spacing w:line="480" w:lineRule="auto"/>
        <w:ind w:left="1260"/>
        <w:jc w:val="both"/>
        <w:rPr>
          <w:rFonts w:ascii="Arial" w:hAnsi="Arial" w:cs="Arial"/>
          <w:color w:val="auto"/>
        </w:rPr>
      </w:pPr>
      <w:r w:rsidRPr="00E10938">
        <w:rPr>
          <w:rFonts w:ascii="Arial" w:hAnsi="Arial" w:cs="Arial"/>
          <w:color w:val="auto"/>
        </w:rPr>
        <w:t xml:space="preserve">Rincian aset lainnya; </w:t>
      </w:r>
    </w:p>
    <w:p w14:paraId="706D6C60" w14:textId="77777777" w:rsidR="00E7401A" w:rsidRPr="00E10938" w:rsidRDefault="00E7401A" w:rsidP="00F464F1">
      <w:pPr>
        <w:pStyle w:val="Default"/>
        <w:numPr>
          <w:ilvl w:val="0"/>
          <w:numId w:val="2"/>
        </w:numPr>
        <w:tabs>
          <w:tab w:val="left" w:pos="1260"/>
        </w:tabs>
        <w:spacing w:line="480" w:lineRule="auto"/>
        <w:ind w:left="1260"/>
        <w:jc w:val="both"/>
        <w:rPr>
          <w:rFonts w:ascii="Arial" w:hAnsi="Arial" w:cs="Arial"/>
          <w:color w:val="auto"/>
        </w:rPr>
      </w:pPr>
      <w:r w:rsidRPr="00E10938">
        <w:rPr>
          <w:rFonts w:ascii="Arial" w:hAnsi="Arial" w:cs="Arial"/>
          <w:color w:val="auto"/>
        </w:rPr>
        <w:t>Kebijakan amortisasi atas Aset Tidak Berwujud;</w:t>
      </w:r>
    </w:p>
    <w:p w14:paraId="30E38BD2" w14:textId="77777777" w:rsidR="00E7401A" w:rsidRPr="00E10938" w:rsidRDefault="00E7401A" w:rsidP="00F464F1">
      <w:pPr>
        <w:pStyle w:val="Default"/>
        <w:numPr>
          <w:ilvl w:val="0"/>
          <w:numId w:val="2"/>
        </w:numPr>
        <w:tabs>
          <w:tab w:val="left" w:pos="1260"/>
        </w:tabs>
        <w:spacing w:line="480" w:lineRule="auto"/>
        <w:ind w:left="1260"/>
        <w:jc w:val="both"/>
        <w:rPr>
          <w:rFonts w:ascii="Arial" w:hAnsi="Arial" w:cs="Arial"/>
          <w:color w:val="auto"/>
        </w:rPr>
      </w:pPr>
      <w:r w:rsidRPr="00E10938">
        <w:rPr>
          <w:rFonts w:ascii="Arial" w:hAnsi="Arial" w:cs="Arial"/>
          <w:color w:val="auto"/>
        </w:rPr>
        <w:t>Kebijakan pelaksanaan kemitraan dengan pihak ketiga (sewa, KSP, BOT dan BTO);</w:t>
      </w:r>
    </w:p>
    <w:p w14:paraId="2477D553" w14:textId="462606C6" w:rsidR="00E7401A" w:rsidRPr="00E10938" w:rsidRDefault="00E7401A" w:rsidP="00F464F1">
      <w:pPr>
        <w:pStyle w:val="Default"/>
        <w:numPr>
          <w:ilvl w:val="0"/>
          <w:numId w:val="2"/>
        </w:numPr>
        <w:tabs>
          <w:tab w:val="left" w:pos="1260"/>
        </w:tabs>
        <w:spacing w:line="480" w:lineRule="auto"/>
        <w:ind w:left="1260"/>
        <w:jc w:val="both"/>
        <w:rPr>
          <w:rFonts w:ascii="Arial" w:hAnsi="Arial" w:cs="Arial"/>
          <w:color w:val="auto"/>
        </w:rPr>
      </w:pPr>
      <w:r w:rsidRPr="00E10938">
        <w:rPr>
          <w:rFonts w:ascii="Arial" w:hAnsi="Arial" w:cs="Arial"/>
          <w:color w:val="auto"/>
        </w:rPr>
        <w:t>Informasi lainnya yang penting.</w:t>
      </w:r>
    </w:p>
    <w:p w14:paraId="243FA96B" w14:textId="68CB5FFF" w:rsidR="00626331" w:rsidRDefault="00626331" w:rsidP="00F464F1">
      <w:pPr>
        <w:spacing w:after="0" w:line="480" w:lineRule="auto"/>
        <w:rPr>
          <w:szCs w:val="24"/>
        </w:rPr>
      </w:pPr>
    </w:p>
    <w:p w14:paraId="5D2EB724" w14:textId="6434C36E" w:rsidR="00F464F1" w:rsidRPr="00F464F1" w:rsidRDefault="00F464F1" w:rsidP="00F464F1">
      <w:pPr>
        <w:spacing w:after="0" w:line="480" w:lineRule="auto"/>
        <w:rPr>
          <w:szCs w:val="24"/>
        </w:rPr>
      </w:pPr>
    </w:p>
    <w:p w14:paraId="573A4D9E" w14:textId="72C08D7F" w:rsidR="00F464F1" w:rsidRPr="00F464F1" w:rsidRDefault="00F464F1" w:rsidP="00F464F1">
      <w:pPr>
        <w:spacing w:after="0" w:line="480" w:lineRule="auto"/>
        <w:rPr>
          <w:szCs w:val="24"/>
        </w:rPr>
      </w:pPr>
    </w:p>
    <w:p w14:paraId="30360C1F" w14:textId="454064EE" w:rsidR="00F464F1" w:rsidRDefault="00F464F1" w:rsidP="00B22338">
      <w:pPr>
        <w:spacing w:after="0" w:line="480" w:lineRule="auto"/>
        <w:rPr>
          <w:szCs w:val="24"/>
        </w:rPr>
      </w:pPr>
    </w:p>
    <w:p w14:paraId="5AE6CC27" w14:textId="261D9339" w:rsidR="00F464F1" w:rsidRDefault="00F464F1" w:rsidP="00F464F1">
      <w:pPr>
        <w:rPr>
          <w:szCs w:val="24"/>
          <w:lang w:val="en-US"/>
        </w:rPr>
      </w:pPr>
    </w:p>
    <w:p w14:paraId="57A5AC13" w14:textId="09C741DA" w:rsidR="000B720C" w:rsidRPr="000B720C" w:rsidRDefault="000B720C" w:rsidP="000B720C">
      <w:pPr>
        <w:rPr>
          <w:szCs w:val="24"/>
          <w:lang w:val="en-US"/>
        </w:rPr>
      </w:pPr>
    </w:p>
    <w:p w14:paraId="3C35FFB8" w14:textId="7EA0002B" w:rsidR="000B720C" w:rsidRPr="000B720C" w:rsidRDefault="000B720C" w:rsidP="000B720C">
      <w:pPr>
        <w:rPr>
          <w:szCs w:val="24"/>
          <w:lang w:val="en-US"/>
        </w:rPr>
      </w:pPr>
    </w:p>
    <w:p w14:paraId="5B337904" w14:textId="60B670FB" w:rsidR="000B720C" w:rsidRPr="000B720C" w:rsidRDefault="000B720C" w:rsidP="000B720C">
      <w:pPr>
        <w:rPr>
          <w:szCs w:val="24"/>
          <w:lang w:val="en-US"/>
        </w:rPr>
      </w:pPr>
    </w:p>
    <w:p w14:paraId="521947EA" w14:textId="2EE8CA14" w:rsidR="000B720C" w:rsidRPr="000B720C" w:rsidRDefault="000B720C" w:rsidP="000B720C">
      <w:pPr>
        <w:rPr>
          <w:szCs w:val="24"/>
          <w:lang w:val="en-US"/>
        </w:rPr>
      </w:pPr>
    </w:p>
    <w:p w14:paraId="339D3496" w14:textId="30F737BC" w:rsidR="000B720C" w:rsidRPr="000B720C" w:rsidRDefault="000B720C" w:rsidP="000B720C">
      <w:pPr>
        <w:rPr>
          <w:szCs w:val="24"/>
          <w:lang w:val="en-US"/>
        </w:rPr>
      </w:pPr>
    </w:p>
    <w:p w14:paraId="1721E797" w14:textId="0ABE397E" w:rsidR="000B720C" w:rsidRPr="000B720C" w:rsidRDefault="000B720C" w:rsidP="000B720C">
      <w:pPr>
        <w:rPr>
          <w:szCs w:val="24"/>
          <w:lang w:val="en-US"/>
        </w:rPr>
      </w:pPr>
    </w:p>
    <w:p w14:paraId="3EB03BA3" w14:textId="09ECC425" w:rsidR="000B720C" w:rsidRPr="000B720C" w:rsidRDefault="000B720C" w:rsidP="000B720C">
      <w:pPr>
        <w:rPr>
          <w:szCs w:val="24"/>
          <w:lang w:val="en-US"/>
        </w:rPr>
      </w:pPr>
    </w:p>
    <w:p w14:paraId="5B2D7071" w14:textId="793F974F" w:rsidR="000B720C" w:rsidRPr="000B720C" w:rsidRDefault="000B720C" w:rsidP="000B720C">
      <w:pPr>
        <w:rPr>
          <w:szCs w:val="24"/>
          <w:lang w:val="en-US"/>
        </w:rPr>
      </w:pPr>
    </w:p>
    <w:p w14:paraId="179C9FFF" w14:textId="6EB2BB7F" w:rsidR="000B720C" w:rsidRPr="000B720C" w:rsidRDefault="000B720C" w:rsidP="000B720C">
      <w:pPr>
        <w:rPr>
          <w:szCs w:val="24"/>
          <w:lang w:val="en-US"/>
        </w:rPr>
      </w:pPr>
    </w:p>
    <w:p w14:paraId="59CFEA60" w14:textId="185F4CCE" w:rsidR="000B720C" w:rsidRPr="000B720C" w:rsidRDefault="000B720C" w:rsidP="000B720C">
      <w:pPr>
        <w:rPr>
          <w:szCs w:val="24"/>
          <w:lang w:val="en-US"/>
        </w:rPr>
      </w:pPr>
    </w:p>
    <w:p w14:paraId="1B122BD7" w14:textId="2328A901" w:rsidR="000B720C" w:rsidRPr="000B720C" w:rsidRDefault="000B720C" w:rsidP="000B720C">
      <w:pPr>
        <w:rPr>
          <w:szCs w:val="24"/>
          <w:lang w:val="en-US"/>
        </w:rPr>
      </w:pPr>
    </w:p>
    <w:p w14:paraId="69E8534B" w14:textId="10D04C79" w:rsidR="000B720C" w:rsidRPr="000B720C" w:rsidRDefault="000B720C" w:rsidP="000B720C">
      <w:pPr>
        <w:rPr>
          <w:szCs w:val="24"/>
          <w:lang w:val="en-US"/>
        </w:rPr>
      </w:pPr>
    </w:p>
    <w:p w14:paraId="22128AD6" w14:textId="3C64F528" w:rsidR="000B720C" w:rsidRPr="000B720C" w:rsidRDefault="000B720C" w:rsidP="000B720C">
      <w:pPr>
        <w:rPr>
          <w:szCs w:val="24"/>
          <w:lang w:val="en-US"/>
        </w:rPr>
      </w:pPr>
    </w:p>
    <w:p w14:paraId="081DC8F7" w14:textId="79B35F81" w:rsidR="000B720C" w:rsidRPr="000B720C" w:rsidRDefault="000B720C" w:rsidP="000B720C">
      <w:pPr>
        <w:rPr>
          <w:szCs w:val="24"/>
          <w:lang w:val="en-US"/>
        </w:rPr>
      </w:pPr>
    </w:p>
    <w:p w14:paraId="7163C568" w14:textId="1B991634" w:rsidR="000B720C" w:rsidRPr="000B720C" w:rsidRDefault="000B720C" w:rsidP="000B720C">
      <w:pPr>
        <w:tabs>
          <w:tab w:val="left" w:pos="7635"/>
        </w:tabs>
        <w:rPr>
          <w:szCs w:val="24"/>
          <w:lang w:val="en-US"/>
        </w:rPr>
      </w:pPr>
      <w:r>
        <w:rPr>
          <w:szCs w:val="24"/>
          <w:lang w:val="en-US"/>
        </w:rPr>
        <w:tab/>
      </w:r>
    </w:p>
    <w:sectPr w:rsidR="000B720C" w:rsidRPr="000B720C" w:rsidSect="008F5904">
      <w:headerReference w:type="default" r:id="rId8"/>
      <w:footerReference w:type="default" r:id="rId9"/>
      <w:pgSz w:w="12240" w:h="18720" w:code="9"/>
      <w:pgMar w:top="1440" w:right="1411"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A5B48" w14:textId="77777777" w:rsidR="00DB1E29" w:rsidRDefault="00DB1E29" w:rsidP="004E1021">
      <w:pPr>
        <w:spacing w:after="0" w:line="240" w:lineRule="auto"/>
      </w:pPr>
      <w:r>
        <w:separator/>
      </w:r>
    </w:p>
  </w:endnote>
  <w:endnote w:type="continuationSeparator" w:id="0">
    <w:p w14:paraId="5CD6436F" w14:textId="77777777" w:rsidR="00DB1E29" w:rsidRDefault="00DB1E29"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Futura Lt BT">
    <w:altName w:val="Century Gothic"/>
    <w:charset w:val="00"/>
    <w:family w:val="swiss"/>
    <w:pitch w:val="variable"/>
    <w:sig w:usb0="00000007" w:usb1="00000000" w:usb2="00000000" w:usb3="00000000" w:csb0="0000001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7053A" w14:textId="796A97F6" w:rsidR="007760D5" w:rsidRPr="00770C3E" w:rsidRDefault="00A666AE"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14:anchorId="2F58B2C1" wp14:editId="78CE7498">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7EB7E87"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7760D5">
      <w:rPr>
        <w:rFonts w:ascii="Tahoma" w:hAnsi="Tahoma" w:cs="Tahoma"/>
        <w:sz w:val="24"/>
        <w:szCs w:val="24"/>
        <w:lang w:val="en-US"/>
      </w:rPr>
      <w:t xml:space="preserve">Kebijakan Akuntansi </w:t>
    </w:r>
    <w:r w:rsidR="006D2218">
      <w:rPr>
        <w:rFonts w:ascii="Tahoma" w:hAnsi="Tahoma" w:cs="Tahoma"/>
        <w:sz w:val="24"/>
        <w:szCs w:val="24"/>
        <w:lang w:val="en-US"/>
      </w:rPr>
      <w:t>No.20</w:t>
    </w:r>
    <w:r w:rsidR="007760D5">
      <w:rPr>
        <w:rFonts w:ascii="Tahoma" w:hAnsi="Tahoma" w:cs="Tahoma"/>
        <w:sz w:val="24"/>
        <w:szCs w:val="24"/>
        <w:lang w:val="en-US"/>
      </w:rPr>
      <w:tab/>
    </w:r>
    <w:r w:rsidR="006D2218">
      <w:rPr>
        <w:rFonts w:ascii="Tahoma" w:hAnsi="Tahoma" w:cs="Tahoma"/>
        <w:sz w:val="24"/>
        <w:szCs w:val="24"/>
        <w:lang w:val="en-US"/>
      </w:rPr>
      <w:t xml:space="preserve">    </w:t>
    </w:r>
    <w:r w:rsidR="007760D5">
      <w:rPr>
        <w:rFonts w:ascii="Tahoma" w:hAnsi="Tahoma" w:cs="Tahoma"/>
        <w:sz w:val="24"/>
        <w:szCs w:val="24"/>
        <w:lang w:val="en-US"/>
      </w:rPr>
      <w:t xml:space="preserve">Halaman </w:t>
    </w:r>
    <w:r w:rsidR="007942A0"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7942A0" w:rsidRPr="00770C3E">
      <w:rPr>
        <w:rFonts w:ascii="Tahoma" w:hAnsi="Tahoma" w:cs="Tahoma"/>
        <w:sz w:val="24"/>
        <w:szCs w:val="24"/>
      </w:rPr>
      <w:fldChar w:fldCharType="separate"/>
    </w:r>
    <w:r w:rsidR="009279B0">
      <w:rPr>
        <w:rFonts w:ascii="Tahoma" w:hAnsi="Tahoma" w:cs="Tahoma"/>
        <w:noProof/>
        <w:sz w:val="24"/>
        <w:szCs w:val="24"/>
      </w:rPr>
      <w:t>1</w:t>
    </w:r>
    <w:r w:rsidR="007942A0"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0B720C">
      <w:rPr>
        <w:rFonts w:ascii="Tahoma" w:hAnsi="Tahoma" w:cs="Tahoma"/>
        <w:sz w:val="24"/>
        <w:szCs w:val="24"/>
        <w:lang w:val="en-US"/>
      </w:rPr>
      <w:t>8</w:t>
    </w:r>
  </w:p>
  <w:p w14:paraId="46906CB1" w14:textId="77777777" w:rsidR="007760D5" w:rsidRDefault="00776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A7F17" w14:textId="77777777" w:rsidR="00DB1E29" w:rsidRDefault="00DB1E29" w:rsidP="004E1021">
      <w:pPr>
        <w:spacing w:after="0" w:line="240" w:lineRule="auto"/>
      </w:pPr>
      <w:r>
        <w:separator/>
      </w:r>
    </w:p>
  </w:footnote>
  <w:footnote w:type="continuationSeparator" w:id="0">
    <w:p w14:paraId="7585A1DB" w14:textId="77777777" w:rsidR="00DB1E29" w:rsidRDefault="00DB1E29"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tblInd w:w="3455" w:type="dxa"/>
      <w:tblLook w:val="0000" w:firstRow="0" w:lastRow="0" w:firstColumn="0" w:lastColumn="0" w:noHBand="0" w:noVBand="0"/>
    </w:tblPr>
    <w:tblGrid>
      <w:gridCol w:w="1447"/>
      <w:gridCol w:w="305"/>
      <w:gridCol w:w="1100"/>
      <w:gridCol w:w="294"/>
      <w:gridCol w:w="2466"/>
    </w:tblGrid>
    <w:tr w:rsidR="007760D5" w:rsidRPr="00AA68E0" w14:paraId="52446346" w14:textId="77777777" w:rsidTr="00E10938">
      <w:trPr>
        <w:trHeight w:val="284"/>
      </w:trPr>
      <w:tc>
        <w:tcPr>
          <w:tcW w:w="1289" w:type="pct"/>
          <w:tcMar>
            <w:left w:w="28" w:type="dxa"/>
            <w:right w:w="28" w:type="dxa"/>
          </w:tcMar>
          <w:vAlign w:val="center"/>
        </w:tcPr>
        <w:p w14:paraId="54B096CF" w14:textId="77777777" w:rsidR="007760D5" w:rsidRPr="00AA68E0" w:rsidRDefault="007760D5"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14:paraId="15966176" w14:textId="77777777"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14:paraId="4525B2AD" w14:textId="77777777"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7760D5" w:rsidRPr="00AA68E0" w14:paraId="0BFEADCA" w14:textId="77777777" w:rsidTr="00E10938">
      <w:trPr>
        <w:trHeight w:val="284"/>
      </w:trPr>
      <w:tc>
        <w:tcPr>
          <w:tcW w:w="1289" w:type="pct"/>
          <w:tcMar>
            <w:left w:w="28" w:type="dxa"/>
            <w:right w:w="28" w:type="dxa"/>
          </w:tcMar>
          <w:vAlign w:val="center"/>
        </w:tcPr>
        <w:p w14:paraId="24A158C3" w14:textId="77777777" w:rsidR="007760D5" w:rsidRPr="00AA68E0" w:rsidRDefault="007760D5"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14:paraId="5CD6ECA2" w14:textId="77777777" w:rsidR="007760D5" w:rsidRPr="00AA68E0" w:rsidRDefault="007760D5"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14:paraId="3C40DABE" w14:textId="77777777"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14:paraId="1F148756" w14:textId="77777777"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7198BFB0" w14:textId="3F9DE39D" w:rsidR="007760D5" w:rsidRPr="004A3764" w:rsidRDefault="00585DAB" w:rsidP="007760D5">
          <w:pPr>
            <w:pStyle w:val="BodyText"/>
            <w:spacing w:after="0"/>
            <w:rPr>
              <w:rFonts w:ascii="Tahoma" w:hAnsi="Tahoma" w:cs="Tahoma"/>
              <w:bCs/>
              <w:color w:val="000000"/>
              <w:sz w:val="18"/>
              <w:szCs w:val="18"/>
              <w:lang w:val="id-ID"/>
            </w:rPr>
          </w:pPr>
          <w:r>
            <w:rPr>
              <w:rFonts w:ascii="Tahoma" w:hAnsi="Tahoma" w:cs="Tahoma"/>
              <w:bCs/>
              <w:color w:val="000000"/>
              <w:sz w:val="18"/>
              <w:szCs w:val="18"/>
            </w:rPr>
            <w:t xml:space="preserve">76  </w:t>
          </w:r>
          <w:r w:rsidR="0076589F">
            <w:rPr>
              <w:rFonts w:ascii="Tahoma" w:hAnsi="Tahoma" w:cs="Tahoma"/>
              <w:bCs/>
              <w:color w:val="000000"/>
              <w:sz w:val="18"/>
              <w:szCs w:val="18"/>
              <w:lang w:val="id-ID"/>
            </w:rPr>
            <w:t>TAHUN 2019</w:t>
          </w:r>
        </w:p>
      </w:tc>
    </w:tr>
    <w:tr w:rsidR="007760D5" w:rsidRPr="00AA68E0" w14:paraId="72A7F08D" w14:textId="77777777" w:rsidTr="00E10938">
      <w:trPr>
        <w:trHeight w:val="284"/>
      </w:trPr>
      <w:tc>
        <w:tcPr>
          <w:tcW w:w="1289" w:type="pct"/>
          <w:tcMar>
            <w:left w:w="28" w:type="dxa"/>
            <w:right w:w="28" w:type="dxa"/>
          </w:tcMar>
          <w:vAlign w:val="center"/>
        </w:tcPr>
        <w:p w14:paraId="445DD2C2" w14:textId="77777777" w:rsidR="007760D5" w:rsidRPr="00AA68E0" w:rsidRDefault="007760D5"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14:paraId="5E6B350A" w14:textId="77777777" w:rsidR="007760D5" w:rsidRPr="00AA68E0" w:rsidRDefault="007760D5"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14:paraId="51DEB54C" w14:textId="77777777"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14:paraId="67DDF754" w14:textId="77777777"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49663FBC" w14:textId="496C3C46" w:rsidR="007760D5" w:rsidRPr="004A3764" w:rsidRDefault="00585DAB" w:rsidP="00585DAB">
          <w:pPr>
            <w:pStyle w:val="BodyText"/>
            <w:spacing w:after="0"/>
            <w:rPr>
              <w:rFonts w:ascii="Tahoma" w:hAnsi="Tahoma" w:cs="Tahoma"/>
              <w:bCs/>
              <w:color w:val="000000"/>
              <w:sz w:val="18"/>
              <w:szCs w:val="18"/>
              <w:lang w:val="id-ID"/>
            </w:rPr>
          </w:pPr>
          <w:r>
            <w:rPr>
              <w:rFonts w:ascii="Tahoma" w:hAnsi="Tahoma" w:cs="Tahoma"/>
              <w:bCs/>
              <w:color w:val="000000"/>
              <w:sz w:val="18"/>
              <w:szCs w:val="18"/>
            </w:rPr>
            <w:t>31</w:t>
          </w:r>
          <w:r>
            <w:rPr>
              <w:rFonts w:ascii="Tahoma" w:hAnsi="Tahoma" w:cs="Tahoma"/>
              <w:bCs/>
              <w:color w:val="000000"/>
              <w:sz w:val="18"/>
              <w:szCs w:val="18"/>
              <w:lang w:val="id-ID"/>
            </w:rPr>
            <w:t xml:space="preserve">  </w:t>
          </w:r>
          <w:r>
            <w:rPr>
              <w:rFonts w:ascii="Tahoma" w:hAnsi="Tahoma" w:cs="Tahoma"/>
              <w:bCs/>
              <w:color w:val="000000"/>
              <w:sz w:val="18"/>
              <w:szCs w:val="18"/>
            </w:rPr>
            <w:t>DESEMBER</w:t>
          </w:r>
          <w:r w:rsidR="0076589F">
            <w:rPr>
              <w:rFonts w:ascii="Tahoma" w:hAnsi="Tahoma" w:cs="Tahoma"/>
              <w:bCs/>
              <w:color w:val="000000"/>
              <w:sz w:val="18"/>
              <w:szCs w:val="18"/>
              <w:lang w:val="id-ID"/>
            </w:rPr>
            <w:t xml:space="preserve"> 2019</w:t>
          </w:r>
        </w:p>
      </w:tc>
    </w:tr>
  </w:tbl>
  <w:p w14:paraId="2FC44896" w14:textId="77777777" w:rsidR="007760D5" w:rsidRPr="00AA68E0" w:rsidRDefault="00A666AE"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14:anchorId="0E9E3C93" wp14:editId="67868993">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08A93B1"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AEC"/>
    <w:multiLevelType w:val="hybridMultilevel"/>
    <w:tmpl w:val="7D80F596"/>
    <w:lvl w:ilvl="0" w:tplc="62CCA0C2">
      <w:start w:val="1"/>
      <w:numFmt w:val="lowerLetter"/>
      <w:lvlText w:val="(%1)"/>
      <w:lvlJc w:val="left"/>
      <w:pPr>
        <w:tabs>
          <w:tab w:val="num" w:pos="720"/>
        </w:tabs>
        <w:ind w:left="720" w:hanging="360"/>
      </w:pPr>
      <w:rPr>
        <w:rFonts w:hint="default"/>
      </w:rPr>
    </w:lvl>
    <w:lvl w:ilvl="1" w:tplc="7A58275C">
      <w:start w:val="1"/>
      <w:numFmt w:val="lowerLetter"/>
      <w:lvlText w:val="%2)"/>
      <w:lvlJc w:val="left"/>
      <w:pPr>
        <w:tabs>
          <w:tab w:val="num" w:pos="1440"/>
        </w:tabs>
        <w:ind w:left="1440" w:hanging="360"/>
      </w:pPr>
      <w:rPr>
        <w:rFonts w:hint="default"/>
      </w:rPr>
    </w:lvl>
    <w:lvl w:ilvl="2" w:tplc="04B4B05A">
      <w:start w:val="1"/>
      <w:numFmt w:val="bullet"/>
      <w:lvlText w:val="-"/>
      <w:lvlJc w:val="left"/>
      <w:pPr>
        <w:tabs>
          <w:tab w:val="num" w:pos="2340"/>
        </w:tabs>
        <w:ind w:left="2340" w:hanging="360"/>
      </w:pPr>
      <w:rPr>
        <w:rFonts w:ascii="Times New Roman" w:eastAsia="Times New Roman" w:hAnsi="Times New Roman" w:cs="Times New Roman" w:hint="default"/>
      </w:rPr>
    </w:lvl>
    <w:lvl w:ilvl="3" w:tplc="41DAAC6C">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CF5ECB22">
      <w:start w:val="186"/>
      <w:numFmt w:val="decimal"/>
      <w:lvlText w:val="%6."/>
      <w:lvlJc w:val="left"/>
      <w:pPr>
        <w:tabs>
          <w:tab w:val="num" w:pos="4500"/>
        </w:tabs>
        <w:ind w:left="4500" w:hanging="360"/>
      </w:pPr>
      <w:rPr>
        <w:rFonts w:hint="default"/>
        <w:i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3D4ADC"/>
    <w:multiLevelType w:val="hybridMultilevel"/>
    <w:tmpl w:val="454AB444"/>
    <w:lvl w:ilvl="0" w:tplc="04090019">
      <w:start w:val="1"/>
      <w:numFmt w:val="lowerLetter"/>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D802656"/>
    <w:multiLevelType w:val="hybridMultilevel"/>
    <w:tmpl w:val="F0C8DE28"/>
    <w:lvl w:ilvl="0" w:tplc="4E00AC06">
      <w:start w:val="1"/>
      <w:numFmt w:val="lowerLetter"/>
      <w:lvlText w:val="%1."/>
      <w:lvlJc w:val="left"/>
      <w:pPr>
        <w:tabs>
          <w:tab w:val="num" w:pos="1800"/>
        </w:tabs>
        <w:ind w:left="1800" w:hanging="360"/>
      </w:pPr>
      <w:rPr>
        <w:rFonts w:ascii="Arial" w:hAnsi="Arial" w:cs="Arial"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65385A"/>
    <w:multiLevelType w:val="hybridMultilevel"/>
    <w:tmpl w:val="4684CB3E"/>
    <w:lvl w:ilvl="0" w:tplc="C84494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FCF0312"/>
    <w:multiLevelType w:val="hybridMultilevel"/>
    <w:tmpl w:val="F56A85C4"/>
    <w:lvl w:ilvl="0" w:tplc="4E00AC06">
      <w:start w:val="1"/>
      <w:numFmt w:val="lowerLetter"/>
      <w:lvlText w:val="%1."/>
      <w:lvlJc w:val="left"/>
      <w:pPr>
        <w:ind w:left="927" w:hanging="360"/>
      </w:pPr>
      <w:rPr>
        <w:rFonts w:ascii="Arial" w:hAnsi="Arial" w:cs="Arial" w:hint="default"/>
        <w:sz w:val="24"/>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C241AD0"/>
    <w:multiLevelType w:val="hybridMultilevel"/>
    <w:tmpl w:val="C4601D76"/>
    <w:lvl w:ilvl="0" w:tplc="F80EBB42">
      <w:start w:val="1"/>
      <w:numFmt w:val="decimal"/>
      <w:lvlText w:val="%1."/>
      <w:lvlJc w:val="left"/>
      <w:pPr>
        <w:ind w:left="928" w:hanging="360"/>
      </w:pPr>
      <w:rPr>
        <w:rFonts w:ascii="Arial" w:hAnsi="Arial" w:cs="Arial" w:hint="default"/>
        <w:b w:val="0"/>
        <w:i w:val="0"/>
        <w:sz w:val="24"/>
        <w:szCs w:val="24"/>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15:restartNumberingAfterBreak="0">
    <w:nsid w:val="7AF02C9E"/>
    <w:multiLevelType w:val="hybridMultilevel"/>
    <w:tmpl w:val="C32CFD58"/>
    <w:lvl w:ilvl="0" w:tplc="9DCAB630">
      <w:start w:val="1"/>
      <w:numFmt w:val="upperLetter"/>
      <w:lvlText w:val="%1."/>
      <w:lvlJc w:val="left"/>
      <w:pPr>
        <w:tabs>
          <w:tab w:val="num" w:pos="4609"/>
        </w:tabs>
        <w:ind w:left="4609" w:hanging="360"/>
      </w:pPr>
      <w:rPr>
        <w:rFonts w:ascii="Tahoma" w:eastAsia="Calibri" w:hAnsi="Tahoma" w:cs="Tahom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40E50"/>
    <w:rsid w:val="00041F0C"/>
    <w:rsid w:val="00044021"/>
    <w:rsid w:val="00052C12"/>
    <w:rsid w:val="000535A4"/>
    <w:rsid w:val="00071EC2"/>
    <w:rsid w:val="0009190E"/>
    <w:rsid w:val="00094E5C"/>
    <w:rsid w:val="000B5B86"/>
    <w:rsid w:val="000B6A30"/>
    <w:rsid w:val="000B6C65"/>
    <w:rsid w:val="000B720C"/>
    <w:rsid w:val="000F77A9"/>
    <w:rsid w:val="001127A4"/>
    <w:rsid w:val="00112B3E"/>
    <w:rsid w:val="00140ADF"/>
    <w:rsid w:val="001430A5"/>
    <w:rsid w:val="001520F3"/>
    <w:rsid w:val="001626D0"/>
    <w:rsid w:val="0016318A"/>
    <w:rsid w:val="001634B4"/>
    <w:rsid w:val="00167EF8"/>
    <w:rsid w:val="00167FF0"/>
    <w:rsid w:val="00170F01"/>
    <w:rsid w:val="001902EA"/>
    <w:rsid w:val="001954EE"/>
    <w:rsid w:val="001963F5"/>
    <w:rsid w:val="001A3C34"/>
    <w:rsid w:val="001B098C"/>
    <w:rsid w:val="001C6349"/>
    <w:rsid w:val="001C7604"/>
    <w:rsid w:val="001D459C"/>
    <w:rsid w:val="001D5526"/>
    <w:rsid w:val="001E3B7E"/>
    <w:rsid w:val="001E73C4"/>
    <w:rsid w:val="001F6803"/>
    <w:rsid w:val="00212744"/>
    <w:rsid w:val="002177A6"/>
    <w:rsid w:val="00243B3A"/>
    <w:rsid w:val="00246038"/>
    <w:rsid w:val="002705A7"/>
    <w:rsid w:val="00285786"/>
    <w:rsid w:val="002A507E"/>
    <w:rsid w:val="002B2CA5"/>
    <w:rsid w:val="002B5789"/>
    <w:rsid w:val="002B7D96"/>
    <w:rsid w:val="002C2438"/>
    <w:rsid w:val="002C4C70"/>
    <w:rsid w:val="002D6734"/>
    <w:rsid w:val="002D6D40"/>
    <w:rsid w:val="002D7AA8"/>
    <w:rsid w:val="002E1A6F"/>
    <w:rsid w:val="00300C48"/>
    <w:rsid w:val="003045B3"/>
    <w:rsid w:val="00335572"/>
    <w:rsid w:val="00346BA1"/>
    <w:rsid w:val="00356F9A"/>
    <w:rsid w:val="00360AEC"/>
    <w:rsid w:val="003710F6"/>
    <w:rsid w:val="0037193F"/>
    <w:rsid w:val="003721BE"/>
    <w:rsid w:val="003726B4"/>
    <w:rsid w:val="00382EDF"/>
    <w:rsid w:val="0038561B"/>
    <w:rsid w:val="0038602C"/>
    <w:rsid w:val="003903E4"/>
    <w:rsid w:val="003A0A4B"/>
    <w:rsid w:val="003D2425"/>
    <w:rsid w:val="003E3800"/>
    <w:rsid w:val="003E5BDC"/>
    <w:rsid w:val="003F3AF4"/>
    <w:rsid w:val="004036E0"/>
    <w:rsid w:val="00405ED0"/>
    <w:rsid w:val="00410239"/>
    <w:rsid w:val="004211A9"/>
    <w:rsid w:val="004346CA"/>
    <w:rsid w:val="004417FD"/>
    <w:rsid w:val="00473189"/>
    <w:rsid w:val="0048233A"/>
    <w:rsid w:val="004A3764"/>
    <w:rsid w:val="004A53AD"/>
    <w:rsid w:val="004B3897"/>
    <w:rsid w:val="004B38E3"/>
    <w:rsid w:val="004C0216"/>
    <w:rsid w:val="004D3BDC"/>
    <w:rsid w:val="004D3F14"/>
    <w:rsid w:val="004D3F85"/>
    <w:rsid w:val="004E1021"/>
    <w:rsid w:val="004E1F26"/>
    <w:rsid w:val="004F0251"/>
    <w:rsid w:val="004F03DA"/>
    <w:rsid w:val="004F245C"/>
    <w:rsid w:val="00505491"/>
    <w:rsid w:val="0050606A"/>
    <w:rsid w:val="0053288E"/>
    <w:rsid w:val="00532F92"/>
    <w:rsid w:val="0053766C"/>
    <w:rsid w:val="00541AE5"/>
    <w:rsid w:val="005466B0"/>
    <w:rsid w:val="0055415C"/>
    <w:rsid w:val="00554892"/>
    <w:rsid w:val="00575604"/>
    <w:rsid w:val="00583970"/>
    <w:rsid w:val="00585DAB"/>
    <w:rsid w:val="0059477A"/>
    <w:rsid w:val="0059521A"/>
    <w:rsid w:val="0059734F"/>
    <w:rsid w:val="005A3172"/>
    <w:rsid w:val="005A776A"/>
    <w:rsid w:val="005B3C7B"/>
    <w:rsid w:val="005B5577"/>
    <w:rsid w:val="005B653D"/>
    <w:rsid w:val="005B6AA3"/>
    <w:rsid w:val="005B6F6E"/>
    <w:rsid w:val="005C750F"/>
    <w:rsid w:val="005D52B2"/>
    <w:rsid w:val="005E7B8B"/>
    <w:rsid w:val="006119D8"/>
    <w:rsid w:val="00624577"/>
    <w:rsid w:val="00626331"/>
    <w:rsid w:val="00647CCC"/>
    <w:rsid w:val="00657035"/>
    <w:rsid w:val="00662F18"/>
    <w:rsid w:val="00676A6C"/>
    <w:rsid w:val="00686883"/>
    <w:rsid w:val="00686AC2"/>
    <w:rsid w:val="006A031C"/>
    <w:rsid w:val="006A3B13"/>
    <w:rsid w:val="006A3D2F"/>
    <w:rsid w:val="006A454E"/>
    <w:rsid w:val="006C3EB6"/>
    <w:rsid w:val="006D2218"/>
    <w:rsid w:val="00736E21"/>
    <w:rsid w:val="00756072"/>
    <w:rsid w:val="0076589F"/>
    <w:rsid w:val="00770C3E"/>
    <w:rsid w:val="007760D5"/>
    <w:rsid w:val="00793B3B"/>
    <w:rsid w:val="007942A0"/>
    <w:rsid w:val="007A26AF"/>
    <w:rsid w:val="007B06CF"/>
    <w:rsid w:val="007B198C"/>
    <w:rsid w:val="007D7E66"/>
    <w:rsid w:val="007E5497"/>
    <w:rsid w:val="007E5B5A"/>
    <w:rsid w:val="007F01FC"/>
    <w:rsid w:val="0084295B"/>
    <w:rsid w:val="0084524D"/>
    <w:rsid w:val="008454AF"/>
    <w:rsid w:val="008545D6"/>
    <w:rsid w:val="0086036E"/>
    <w:rsid w:val="00874A2B"/>
    <w:rsid w:val="00886EA4"/>
    <w:rsid w:val="008A4A06"/>
    <w:rsid w:val="008D16E6"/>
    <w:rsid w:val="008D425C"/>
    <w:rsid w:val="008E49E1"/>
    <w:rsid w:val="008F5904"/>
    <w:rsid w:val="00905020"/>
    <w:rsid w:val="009066DA"/>
    <w:rsid w:val="00912C08"/>
    <w:rsid w:val="009279B0"/>
    <w:rsid w:val="009362FD"/>
    <w:rsid w:val="00942777"/>
    <w:rsid w:val="00945219"/>
    <w:rsid w:val="00955657"/>
    <w:rsid w:val="00965338"/>
    <w:rsid w:val="009669EB"/>
    <w:rsid w:val="00976787"/>
    <w:rsid w:val="00977FBD"/>
    <w:rsid w:val="00996FA1"/>
    <w:rsid w:val="009A544E"/>
    <w:rsid w:val="009B0EEA"/>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666AE"/>
    <w:rsid w:val="00A70767"/>
    <w:rsid w:val="00A90FCD"/>
    <w:rsid w:val="00AA68E0"/>
    <w:rsid w:val="00AD7DA7"/>
    <w:rsid w:val="00AE44C8"/>
    <w:rsid w:val="00AE7137"/>
    <w:rsid w:val="00AF1B03"/>
    <w:rsid w:val="00AF327B"/>
    <w:rsid w:val="00B02162"/>
    <w:rsid w:val="00B02A7B"/>
    <w:rsid w:val="00B04DC0"/>
    <w:rsid w:val="00B05E27"/>
    <w:rsid w:val="00B14E86"/>
    <w:rsid w:val="00B20830"/>
    <w:rsid w:val="00B20BCB"/>
    <w:rsid w:val="00B22338"/>
    <w:rsid w:val="00B40126"/>
    <w:rsid w:val="00B55FAA"/>
    <w:rsid w:val="00B723CB"/>
    <w:rsid w:val="00B867EE"/>
    <w:rsid w:val="00BA237D"/>
    <w:rsid w:val="00BA5B49"/>
    <w:rsid w:val="00BB0E77"/>
    <w:rsid w:val="00BC3DF5"/>
    <w:rsid w:val="00BF0530"/>
    <w:rsid w:val="00BF299A"/>
    <w:rsid w:val="00C12637"/>
    <w:rsid w:val="00C15004"/>
    <w:rsid w:val="00C2192C"/>
    <w:rsid w:val="00C23C5E"/>
    <w:rsid w:val="00C2781C"/>
    <w:rsid w:val="00C365EC"/>
    <w:rsid w:val="00C55AF4"/>
    <w:rsid w:val="00C62E11"/>
    <w:rsid w:val="00C73FB9"/>
    <w:rsid w:val="00C75F8A"/>
    <w:rsid w:val="00C92809"/>
    <w:rsid w:val="00C9507A"/>
    <w:rsid w:val="00CB4227"/>
    <w:rsid w:val="00CC4FA4"/>
    <w:rsid w:val="00CD4C45"/>
    <w:rsid w:val="00CF1EE7"/>
    <w:rsid w:val="00CF2739"/>
    <w:rsid w:val="00D03B93"/>
    <w:rsid w:val="00D15B62"/>
    <w:rsid w:val="00D16662"/>
    <w:rsid w:val="00D17814"/>
    <w:rsid w:val="00D317D0"/>
    <w:rsid w:val="00D427FB"/>
    <w:rsid w:val="00D44DEA"/>
    <w:rsid w:val="00D45C4B"/>
    <w:rsid w:val="00D51D8A"/>
    <w:rsid w:val="00D6750B"/>
    <w:rsid w:val="00D8218B"/>
    <w:rsid w:val="00D82953"/>
    <w:rsid w:val="00D83D2E"/>
    <w:rsid w:val="00D84C7B"/>
    <w:rsid w:val="00D868EB"/>
    <w:rsid w:val="00D86E1B"/>
    <w:rsid w:val="00D958C3"/>
    <w:rsid w:val="00DB1E29"/>
    <w:rsid w:val="00DD062F"/>
    <w:rsid w:val="00DD5F6F"/>
    <w:rsid w:val="00DE3EF4"/>
    <w:rsid w:val="00DE50C4"/>
    <w:rsid w:val="00E049D2"/>
    <w:rsid w:val="00E10938"/>
    <w:rsid w:val="00E24CF6"/>
    <w:rsid w:val="00E5192C"/>
    <w:rsid w:val="00E6160E"/>
    <w:rsid w:val="00E7401A"/>
    <w:rsid w:val="00EC491B"/>
    <w:rsid w:val="00EC642A"/>
    <w:rsid w:val="00ED1697"/>
    <w:rsid w:val="00ED253F"/>
    <w:rsid w:val="00ED32B6"/>
    <w:rsid w:val="00ED4896"/>
    <w:rsid w:val="00EF4FAC"/>
    <w:rsid w:val="00EF7E26"/>
    <w:rsid w:val="00F06164"/>
    <w:rsid w:val="00F13BA2"/>
    <w:rsid w:val="00F151F9"/>
    <w:rsid w:val="00F1666B"/>
    <w:rsid w:val="00F31F8B"/>
    <w:rsid w:val="00F31FD6"/>
    <w:rsid w:val="00F35D08"/>
    <w:rsid w:val="00F3611C"/>
    <w:rsid w:val="00F4066D"/>
    <w:rsid w:val="00F464F1"/>
    <w:rsid w:val="00F517FA"/>
    <w:rsid w:val="00F65E01"/>
    <w:rsid w:val="00F67EE2"/>
    <w:rsid w:val="00F711CF"/>
    <w:rsid w:val="00F7310B"/>
    <w:rsid w:val="00F74C89"/>
    <w:rsid w:val="00F8222A"/>
    <w:rsid w:val="00F8312B"/>
    <w:rsid w:val="00F83BAD"/>
    <w:rsid w:val="00F86B33"/>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AB3CAD"/>
  <w15:docId w15:val="{86F5EE5D-518F-42B9-941B-B78456E9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table" w:styleId="TableGrid">
    <w:name w:val="Table Grid"/>
    <w:basedOn w:val="TableNormal"/>
    <w:uiPriority w:val="59"/>
    <w:rsid w:val="00196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A408E-9018-4883-BF68-EB9DEBB9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2</cp:revision>
  <cp:lastPrinted>2019-12-19T05:52:00Z</cp:lastPrinted>
  <dcterms:created xsi:type="dcterms:W3CDTF">2020-11-27T08:01:00Z</dcterms:created>
  <dcterms:modified xsi:type="dcterms:W3CDTF">2020-11-27T08:01:00Z</dcterms:modified>
</cp:coreProperties>
</file>